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方正小标宋简体"/>
          <w:sz w:val="44"/>
          <w:szCs w:val="44"/>
        </w:rPr>
      </w:pPr>
    </w:p>
    <w:p>
      <w:pPr>
        <w:jc w:val="center"/>
        <w:rPr>
          <w:rFonts w:ascii="黑体" w:hAnsi="黑体" w:eastAsia="黑体" w:cs="方正小标宋简体"/>
          <w:sz w:val="44"/>
          <w:szCs w:val="44"/>
        </w:rPr>
      </w:pPr>
    </w:p>
    <w:p>
      <w:pPr>
        <w:jc w:val="center"/>
        <w:rPr>
          <w:rFonts w:ascii="黑体" w:hAnsi="黑体" w:eastAsia="黑体" w:cs="方正小标宋简体"/>
          <w:sz w:val="44"/>
          <w:szCs w:val="44"/>
        </w:rPr>
      </w:pPr>
      <w:r>
        <w:rPr>
          <w:rFonts w:hint="eastAsia" w:ascii="黑体" w:hAnsi="黑体" w:eastAsia="黑体" w:cs="方正小标宋简体"/>
          <w:sz w:val="44"/>
          <w:szCs w:val="44"/>
        </w:rPr>
        <w:t>广东省卫生医疗对外合作服务中心</w:t>
      </w:r>
      <w:bookmarkStart w:id="0" w:name="PO_title"/>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r>
        <w:rPr>
          <w:rFonts w:ascii="黑体" w:hAnsi="黑体" w:eastAsia="黑体" w:cs="方正小标宋简体"/>
          <w:sz w:val="44"/>
          <w:szCs w:val="44"/>
        </w:rPr>
        <w:t>201</w:t>
      </w:r>
      <w:bookmarkEnd w:id="0"/>
      <w:r>
        <w:rPr>
          <w:rFonts w:hint="eastAsia" w:ascii="黑体" w:hAnsi="黑体" w:eastAsia="黑体" w:cs="方正小标宋简体"/>
          <w:sz w:val="44"/>
          <w:szCs w:val="44"/>
        </w:rPr>
        <w:t>9年部门决算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第一部分</w:t>
      </w:r>
      <w:bookmarkStart w:id="1" w:name="PO_dirDivName1"/>
      <w:bookmarkEnd w:id="1"/>
      <w:r>
        <w:rPr>
          <w:rFonts w:hint="eastAsia" w:ascii="黑体" w:hAnsi="黑体" w:eastAsia="黑体" w:cs="黑体"/>
          <w:b/>
          <w:sz w:val="32"/>
          <w:szCs w:val="32"/>
        </w:rPr>
        <w:t xml:space="preserve">   广东省卫生医疗对外合作服务中心概况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rPr>
          <w:rFonts w:ascii="黑体" w:hAnsi="黑体" w:eastAsia="黑体" w:cs="仿宋_GB2312"/>
          <w:sz w:val="32"/>
          <w:szCs w:val="32"/>
        </w:rPr>
      </w:pPr>
      <w:r>
        <w:rPr>
          <w:rFonts w:hint="eastAsia" w:ascii="黑体" w:hAnsi="黑体" w:eastAsia="黑体" w:cs="仿宋_GB2312"/>
          <w:sz w:val="32"/>
          <w:szCs w:val="32"/>
        </w:rPr>
        <w:t>机构设置</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2" w:name="PO_Year1"/>
      <w:r>
        <w:rPr>
          <w:rFonts w:hint="eastAsia" w:ascii="黑体" w:hAnsi="黑体" w:eastAsia="黑体" w:cs="黑体"/>
          <w:b/>
          <w:sz w:val="32"/>
          <w:szCs w:val="32"/>
        </w:rPr>
        <w:t>广东省卫生医疗对外合作服务中心</w:t>
      </w:r>
      <w:r>
        <w:rPr>
          <w:rFonts w:ascii="黑体" w:hAnsi="黑体" w:eastAsia="黑体" w:cs="黑体"/>
          <w:b/>
          <w:sz w:val="32"/>
          <w:szCs w:val="32"/>
        </w:rPr>
        <w:t>201</w:t>
      </w:r>
      <w:bookmarkEnd w:id="2"/>
      <w:r>
        <w:rPr>
          <w:rFonts w:hint="eastAsia" w:ascii="黑体" w:hAnsi="黑体" w:eastAsia="黑体" w:cs="黑体"/>
          <w:b/>
          <w:sz w:val="32"/>
          <w:szCs w:val="32"/>
        </w:rPr>
        <w:t>9年部门决算表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一、收入支出决算总表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二、收入决算表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三、支出决算表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四、财政拨款收入支出决算总表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五、一般公共预算财政拨款支出决算表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六、一般公共预算财政拨款基本支出决算表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七、一般公共预算财政拨款“三公”经费支出决算表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八、政府性基金预算财政拨款收入支出决算表</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3" w:name="PO_Year2"/>
      <w:r>
        <w:rPr>
          <w:rFonts w:hint="eastAsia" w:ascii="黑体" w:hAnsi="黑体" w:eastAsia="黑体" w:cs="黑体"/>
          <w:b/>
          <w:sz w:val="32"/>
          <w:szCs w:val="32"/>
        </w:rPr>
        <w:t>广东省卫生医疗对外合作服务中心</w:t>
      </w:r>
      <w:r>
        <w:rPr>
          <w:rFonts w:ascii="黑体" w:hAnsi="黑体" w:eastAsia="黑体" w:cs="黑体"/>
          <w:b/>
          <w:sz w:val="32"/>
          <w:szCs w:val="32"/>
        </w:rPr>
        <w:t>201</w:t>
      </w:r>
      <w:bookmarkEnd w:id="3"/>
      <w:r>
        <w:rPr>
          <w:rFonts w:hint="eastAsia" w:ascii="黑体" w:hAnsi="黑体" w:eastAsia="黑体" w:cs="黑体"/>
          <w:b/>
          <w:sz w:val="32"/>
          <w:szCs w:val="32"/>
        </w:rPr>
        <w:t>9年部门决算情况说明</w:t>
      </w:r>
    </w:p>
    <w:p>
      <w:pPr>
        <w:ind w:firstLine="643" w:firstLineChars="200"/>
        <w:rPr>
          <w:rFonts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pStyle w:val="12"/>
        <w:ind w:left="220" w:firstLine="0" w:firstLineChars="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   广东省卫生医疗对外合作</w:t>
      </w:r>
    </w:p>
    <w:p>
      <w:pPr>
        <w:pStyle w:val="12"/>
        <w:ind w:left="2020" w:leftChars="962" w:firstLine="1320" w:firstLineChars="30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服务中心概况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snapToGrid w:val="0"/>
        <w:ind w:firstLine="600" w:firstLineChars="200"/>
        <w:rPr>
          <w:rFonts w:ascii="仿宋_GB2312" w:hAnsi="黑体" w:eastAsia="仿宋_GB2312"/>
          <w:sz w:val="32"/>
          <w:szCs w:val="32"/>
        </w:rPr>
      </w:pPr>
      <w:bookmarkStart w:id="4" w:name="PO_part1Responsibilities"/>
      <w:r>
        <w:rPr>
          <w:rFonts w:hint="eastAsia" w:ascii="仿宋_GB2312" w:eastAsia="仿宋_GB2312"/>
          <w:sz w:val="30"/>
          <w:szCs w:val="30"/>
        </w:rPr>
        <w:t>广东省卫生医疗对外合作服务中心（下称中心）为广东省卫生健康委下属正处级事业单位。承担我省援外医疗队的选拔、培训、外派和服务管理工作；参与有关卫生医疗方面的国际合作与交流，承担对外合作项目的日常事务管理工作；承担为我国援外医疗队医疗器械、药品、生活物资采购、发运，</w:t>
      </w:r>
      <w:bookmarkEnd w:id="4"/>
      <w:r>
        <w:rPr>
          <w:rFonts w:hint="eastAsia" w:ascii="仿宋_GB2312" w:eastAsia="仿宋_GB2312"/>
          <w:sz w:val="30"/>
          <w:szCs w:val="30"/>
        </w:rPr>
        <w:t>并提供生活物资和其他后勤保障；承担因公出访办证服务。</w:t>
      </w:r>
    </w:p>
    <w:p>
      <w:pPr>
        <w:ind w:firstLine="600" w:firstLineChars="200"/>
        <w:rPr>
          <w:rFonts w:ascii="仿宋_GB2312" w:eastAsia="仿宋_GB2312"/>
          <w:sz w:val="30"/>
          <w:szCs w:val="30"/>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部门预算构成</w:t>
      </w:r>
    </w:p>
    <w:p>
      <w:pPr>
        <w:snapToGrid w:val="0"/>
        <w:ind w:firstLine="600" w:firstLineChars="200"/>
        <w:rPr>
          <w:rFonts w:ascii="仿宋_GB2312" w:eastAsia="仿宋_GB2312"/>
          <w:sz w:val="30"/>
          <w:szCs w:val="30"/>
        </w:rPr>
      </w:pPr>
      <w:bookmarkStart w:id="5" w:name="PO_part1Organization"/>
      <w:r>
        <w:rPr>
          <w:rFonts w:hint="eastAsia" w:ascii="仿宋_GB2312" w:eastAsia="仿宋_GB2312"/>
          <w:sz w:val="30"/>
          <w:szCs w:val="30"/>
        </w:rPr>
        <w:t>本中心下设两科，为综合科和业务科。无下属单位，部门决算为中心本级决算。</w:t>
      </w:r>
    </w:p>
    <w:p>
      <w:pPr>
        <w:rPr>
          <w:rFonts w:ascii="仿宋_GB2312" w:hAnsi="仿宋_GB2312" w:eastAsia="仿宋_GB2312" w:cs="仿宋_GB2312"/>
          <w:sz w:val="32"/>
          <w:szCs w:val="32"/>
        </w:rPr>
      </w:pPr>
    </w:p>
    <w:bookmarkEnd w:id="5"/>
    <w:p>
      <w:pPr>
        <w:pStyle w:val="12"/>
        <w:ind w:left="2020" w:firstLine="0" w:firstLineChars="0"/>
        <w:rPr>
          <w:rFonts w:ascii="方正小标宋简体" w:hAnsi="方正小标宋简体" w:eastAsia="方正小标宋简体" w:cs="方正小标宋简体"/>
          <w:sz w:val="44"/>
          <w:szCs w:val="44"/>
        </w:rPr>
      </w:pPr>
    </w:p>
    <w:p>
      <w:pPr>
        <w:pStyle w:val="12"/>
        <w:ind w:left="2020" w:firstLine="0" w:firstLineChars="0"/>
        <w:rPr>
          <w:rFonts w:ascii="方正小标宋简体" w:hAnsi="方正小标宋简体" w:eastAsia="方正小标宋简体" w:cs="方正小标宋简体"/>
          <w:sz w:val="44"/>
          <w:szCs w:val="44"/>
        </w:rPr>
      </w:pPr>
    </w:p>
    <w:p>
      <w:pPr>
        <w:pStyle w:val="12"/>
        <w:ind w:left="2020" w:firstLine="0" w:firstLineChars="0"/>
        <w:rPr>
          <w:rFonts w:ascii="方正小标宋简体" w:hAnsi="方正小标宋简体" w:eastAsia="方正小标宋简体" w:cs="方正小标宋简体"/>
          <w:sz w:val="44"/>
          <w:szCs w:val="44"/>
        </w:rPr>
      </w:pPr>
    </w:p>
    <w:p>
      <w:pPr>
        <w:pStyle w:val="12"/>
        <w:ind w:left="2020" w:firstLine="0" w:firstLineChars="0"/>
        <w:rPr>
          <w:rFonts w:ascii="方正小标宋简体" w:hAnsi="方正小标宋简体" w:eastAsia="方正小标宋简体" w:cs="方正小标宋简体"/>
          <w:sz w:val="44"/>
          <w:szCs w:val="44"/>
        </w:rPr>
      </w:pPr>
    </w:p>
    <w:p>
      <w:pPr>
        <w:pStyle w:val="12"/>
        <w:ind w:left="2020" w:firstLine="0" w:firstLineChars="0"/>
        <w:rPr>
          <w:rFonts w:ascii="方正小标宋简体" w:hAnsi="方正小标宋简体" w:eastAsia="方正小标宋简体" w:cs="方正小标宋简体"/>
          <w:sz w:val="44"/>
          <w:szCs w:val="44"/>
        </w:rPr>
      </w:pPr>
    </w:p>
    <w:p>
      <w:pPr>
        <w:pStyle w:val="12"/>
        <w:ind w:left="2020" w:firstLine="0" w:firstLineChars="0"/>
        <w:rPr>
          <w:rFonts w:ascii="方正小标宋简体" w:hAnsi="方正小标宋简体" w:eastAsia="方正小标宋简体" w:cs="方正小标宋简体"/>
          <w:sz w:val="44"/>
          <w:szCs w:val="44"/>
        </w:rPr>
      </w:pPr>
    </w:p>
    <w:p>
      <w:pPr>
        <w:pStyle w:val="12"/>
        <w:ind w:left="2020" w:firstLine="0" w:firstLineChars="0"/>
        <w:rPr>
          <w:rFonts w:ascii="方正小标宋简体" w:hAnsi="方正小标宋简体" w:eastAsia="方正小标宋简体" w:cs="方正小标宋简体"/>
          <w:sz w:val="44"/>
          <w:szCs w:val="44"/>
        </w:rPr>
      </w:pPr>
    </w:p>
    <w:p>
      <w:pPr>
        <w:widowControl/>
        <w:jc w:val="left"/>
        <w:rPr>
          <w:rFonts w:ascii="黑体" w:hAnsi="黑体" w:eastAsia="黑体" w:cs="方正小标宋简体"/>
          <w:sz w:val="44"/>
          <w:szCs w:val="44"/>
        </w:rPr>
        <w:sectPr>
          <w:pgSz w:w="11906" w:h="16838"/>
          <w:pgMar w:top="1440" w:right="1800" w:bottom="1440" w:left="1800" w:header="851" w:footer="992" w:gutter="0"/>
          <w:cols w:space="425" w:num="1"/>
          <w:docGrid w:type="lines" w:linePitch="312" w:charSpace="0"/>
        </w:sectPr>
      </w:pPr>
    </w:p>
    <w:p>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第二部分 广东省卫生医疗对外合作服务中心2019年部门决算表</w:t>
      </w:r>
    </w:p>
    <w:p>
      <w:pPr>
        <w:spacing w:line="288" w:lineRule="auto"/>
        <w:outlineLvl w:val="0"/>
        <w:rPr>
          <w:rFonts w:ascii="宋体" w:hAnsi="宋体" w:cs="宋体"/>
          <w:b/>
          <w:sz w:val="36"/>
          <w:szCs w:val="36"/>
        </w:rPr>
      </w:pPr>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r>
              <w:rPr>
                <w:rFonts w:hint="eastAsia" w:ascii="宋体" w:hAnsi="宋体" w:cs="宋体"/>
                <w:kern w:val="0"/>
                <w:sz w:val="20"/>
                <w:szCs w:val="20"/>
              </w:rPr>
              <w:t>部门：</w:t>
            </w:r>
            <w:bookmarkStart w:id="6" w:name="PO_part2Table1DivName1"/>
            <w:bookmarkEnd w:id="6"/>
            <w:r>
              <w:rPr>
                <w:rFonts w:hint="eastAsia" w:ascii="宋体" w:hAnsi="宋体" w:cs="宋体"/>
                <w:kern w:val="0"/>
                <w:sz w:val="20"/>
                <w:szCs w:val="20"/>
              </w:rPr>
              <w:t>广东省卫生医疗对外合作服务中心</w:t>
            </w:r>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一、一般公共预算财政拨款收入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ascii="宋体" w:hAnsi="宋体" w:cs="宋体"/>
                <w:kern w:val="0"/>
                <w:szCs w:val="21"/>
              </w:rPr>
            </w:pPr>
            <w:r>
              <w:rPr>
                <w:rFonts w:hint="eastAsia" w:ascii="宋体" w:hAnsi="宋体" w:cs="宋体"/>
                <w:kern w:val="0"/>
                <w:szCs w:val="21"/>
              </w:rPr>
              <w:t>317.93</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二、政府性基金预算财政拨款收入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三、上级补助收入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四、事业收入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48.23</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五、经营收入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六、附属单位上缴收入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七、其他收入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wordWrap w:val="0"/>
              <w:jc w:val="right"/>
              <w:rPr>
                <w:rFonts w:ascii="宋体" w:hAnsi="宋体" w:cs="宋体"/>
                <w:kern w:val="0"/>
                <w:szCs w:val="21"/>
              </w:rPr>
            </w:pPr>
            <w:r>
              <w:rPr>
                <w:rFonts w:hint="eastAsia" w:ascii="宋体" w:hAnsi="宋体" w:cs="宋体"/>
                <w:kern w:val="0"/>
                <w:szCs w:val="21"/>
              </w:rPr>
              <w:t>11.93</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22.18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537.54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ascii="黑体" w:hAnsi="黑体" w:eastAsia="黑体" w:cs="方正小标宋简体"/>
                <w:sz w:val="44"/>
                <w:szCs w:val="44"/>
              </w:rPr>
              <w:br w:type="page"/>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二十一、灾害防治及应急管理支出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二十二、其他支出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r>
              <w:rPr>
                <w:rFonts w:hint="eastAsia" w:ascii="宋体" w:hAnsi="宋体" w:cs="宋体"/>
                <w:b/>
                <w:bCs/>
                <w:kern w:val="0"/>
                <w:szCs w:val="21"/>
              </w:rPr>
              <w:t>本年收入合计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378.09</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559.72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r>
              <w:rPr>
                <w:rFonts w:hint="eastAsia" w:ascii="宋体" w:hAnsi="宋体" w:cs="宋体"/>
                <w:kern w:val="0"/>
                <w:szCs w:val="21"/>
              </w:rPr>
              <w:t>用事业基金弥补收支差额</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178.96</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54.62</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51.95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pPr>
              <w:widowControl/>
              <w:jc w:val="right"/>
              <w:rPr>
                <w:rFonts w:ascii="宋体" w:hAnsi="宋体" w:cs="宋体"/>
                <w:kern w:val="0"/>
                <w:szCs w:val="21"/>
              </w:rPr>
            </w:pPr>
            <w:r>
              <w:rPr>
                <w:rFonts w:hint="eastAsia" w:ascii="宋体" w:hAnsi="宋体" w:cs="宋体"/>
                <w:kern w:val="0"/>
                <w:szCs w:val="21"/>
              </w:rPr>
              <w:t>611.68</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pPr>
              <w:widowControl/>
              <w:jc w:val="right"/>
              <w:rPr>
                <w:rFonts w:ascii="宋体" w:hAnsi="宋体" w:cs="宋体"/>
                <w:kern w:val="0"/>
                <w:szCs w:val="21"/>
              </w:rPr>
            </w:pPr>
            <w:r>
              <w:rPr>
                <w:rFonts w:hint="eastAsia" w:ascii="宋体" w:hAnsi="宋体" w:cs="宋体"/>
                <w:kern w:val="0"/>
                <w:szCs w:val="21"/>
              </w:rPr>
              <w:t>611.68</w:t>
            </w:r>
          </w:p>
        </w:tc>
      </w:tr>
    </w:tbl>
    <w:p>
      <w:pPr>
        <w:widowControl/>
        <w:jc w:val="left"/>
        <w:rPr>
          <w:rFonts w:ascii="宋体" w:hAnsi="宋体" w:cs="宋体"/>
          <w:szCs w:val="21"/>
        </w:rPr>
      </w:pPr>
      <w:r>
        <w:rPr>
          <w:rFonts w:hint="eastAsia" w:ascii="宋体" w:hAnsi="宋体" w:cs="宋体"/>
          <w:szCs w:val="21"/>
        </w:rPr>
        <w:t>注：本表反映部门本年度的总收支和年末结转情况。</w:t>
      </w: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468"/>
        <w:gridCol w:w="1575"/>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r>
              <w:rPr>
                <w:rFonts w:hint="eastAsia" w:ascii="宋体" w:hAnsi="宋体" w:cs="宋体"/>
                <w:kern w:val="0"/>
                <w:sz w:val="20"/>
                <w:szCs w:val="20"/>
              </w:rPr>
              <w:t>部门：广东省卫生医疗对外合作服务中心</w:t>
            </w:r>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4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5"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57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468"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rPr>
              <w:t>378.09</w:t>
            </w:r>
          </w:p>
        </w:tc>
        <w:tc>
          <w:tcPr>
            <w:tcW w:w="1575"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rPr>
              <w:t>317.93</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rPr>
              <w:t>48.23</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kern w:val="0"/>
                <w:szCs w:val="21"/>
              </w:rPr>
              <w:t>0.00</w:t>
            </w:r>
          </w:p>
        </w:tc>
        <w:tc>
          <w:tcPr>
            <w:tcW w:w="1568" w:type="dxa"/>
            <w:tcBorders>
              <w:top w:val="single" w:color="auto" w:sz="4" w:space="0"/>
            </w:tcBorders>
            <w:vAlign w:val="center"/>
          </w:tcPr>
          <w:p>
            <w:pPr>
              <w:widowControl/>
              <w:jc w:val="right"/>
              <w:rPr>
                <w:rFonts w:ascii="宋体" w:hAnsi="宋体" w:cs="宋体"/>
                <w:kern w:val="0"/>
                <w:szCs w:val="21"/>
              </w:rPr>
            </w:pPr>
            <w:r>
              <w:rPr>
                <w:rFonts w:hint="eastAsia" w:ascii="宋体" w:hAnsi="宋体" w:cs="宋体"/>
                <w:kern w:val="0"/>
                <w:szCs w:val="21"/>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社会保障和就业支出</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20.01</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20.01</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20805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行政事业单位离退休</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20.01</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20.01</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2080501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归口管理的行政单位离退休</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2080502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事业单位离退休</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10.27</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10.27</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2080599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其他行政事业单位离退休支出</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9.74</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9.74</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20808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抚恤</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2080801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死亡抚恤</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210</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卫生健康支出</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358.08</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297.92</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48.23</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21001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卫生健康管理事务</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264.61</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204.45</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48.23</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2100199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其他卫生健康事务支出</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264.61</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204.45</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48.23</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21099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其他卫生健康支出</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93.47</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93.47</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2109901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其他卫生健康支出</w:t>
            </w:r>
          </w:p>
        </w:tc>
        <w:tc>
          <w:tcPr>
            <w:tcW w:w="14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93.47</w:t>
            </w:r>
          </w:p>
        </w:tc>
        <w:tc>
          <w:tcPr>
            <w:tcW w:w="1575"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93.47</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（注：如需增加科目请插入新行，否则删除本行。）</w:t>
            </w:r>
          </w:p>
        </w:tc>
        <w:tc>
          <w:tcPr>
            <w:tcW w:w="1468" w:type="dxa"/>
            <w:vAlign w:val="center"/>
          </w:tcPr>
          <w:p>
            <w:pPr>
              <w:widowControl/>
              <w:jc w:val="right"/>
              <w:rPr>
                <w:rFonts w:ascii="宋体" w:hAnsi="宋体" w:cs="宋体"/>
                <w:kern w:val="0"/>
                <w:szCs w:val="21"/>
              </w:rPr>
            </w:pPr>
          </w:p>
        </w:tc>
        <w:tc>
          <w:tcPr>
            <w:tcW w:w="1575" w:type="dxa"/>
            <w:vAlign w:val="center"/>
          </w:tcPr>
          <w:p>
            <w:pPr>
              <w:widowControl/>
              <w:jc w:val="right"/>
              <w:rPr>
                <w:rFonts w:ascii="宋体" w:hAnsi="宋体" w:cs="宋体"/>
                <w:kern w:val="0"/>
                <w:szCs w:val="21"/>
              </w:rPr>
            </w:pPr>
          </w:p>
        </w:tc>
        <w:tc>
          <w:tcPr>
            <w:tcW w:w="1576" w:type="dxa"/>
            <w:vAlign w:val="center"/>
          </w:tcPr>
          <w:p>
            <w:pPr>
              <w:widowControl/>
              <w:jc w:val="right"/>
              <w:rPr>
                <w:rFonts w:ascii="宋体" w:hAnsi="宋体" w:cs="宋体"/>
                <w:kern w:val="0"/>
                <w:szCs w:val="21"/>
              </w:rPr>
            </w:pPr>
          </w:p>
        </w:tc>
        <w:tc>
          <w:tcPr>
            <w:tcW w:w="1576" w:type="dxa"/>
            <w:vAlign w:val="center"/>
          </w:tcPr>
          <w:p>
            <w:pPr>
              <w:widowControl/>
              <w:jc w:val="right"/>
              <w:rPr>
                <w:rFonts w:ascii="宋体" w:hAnsi="宋体" w:cs="宋体"/>
                <w:kern w:val="0"/>
                <w:szCs w:val="21"/>
              </w:rPr>
            </w:pPr>
          </w:p>
        </w:tc>
        <w:tc>
          <w:tcPr>
            <w:tcW w:w="1576" w:type="dxa"/>
            <w:vAlign w:val="center"/>
          </w:tcPr>
          <w:p>
            <w:pPr>
              <w:widowControl/>
              <w:jc w:val="right"/>
              <w:rPr>
                <w:rFonts w:ascii="宋体" w:hAnsi="宋体" w:cs="宋体"/>
                <w:kern w:val="0"/>
                <w:szCs w:val="21"/>
              </w:rPr>
            </w:pPr>
          </w:p>
        </w:tc>
        <w:tc>
          <w:tcPr>
            <w:tcW w:w="1576" w:type="dxa"/>
            <w:vAlign w:val="center"/>
          </w:tcPr>
          <w:p>
            <w:pPr>
              <w:widowControl/>
              <w:jc w:val="right"/>
              <w:rPr>
                <w:rFonts w:ascii="宋体" w:hAnsi="宋体" w:cs="宋体"/>
                <w:kern w:val="0"/>
                <w:szCs w:val="21"/>
              </w:rPr>
            </w:pPr>
          </w:p>
        </w:tc>
        <w:tc>
          <w:tcPr>
            <w:tcW w:w="1568" w:type="dxa"/>
            <w:vAlign w:val="center"/>
          </w:tcPr>
          <w:p>
            <w:pPr>
              <w:widowControl/>
              <w:jc w:val="right"/>
              <w:rPr>
                <w:rFonts w:ascii="宋体" w:hAnsi="宋体" w:cs="宋体"/>
                <w:kern w:val="0"/>
                <w:szCs w:val="21"/>
              </w:rPr>
            </w:pPr>
          </w:p>
        </w:tc>
      </w:tr>
    </w:tbl>
    <w:p>
      <w:pPr>
        <w:widowControl/>
        <w:jc w:val="left"/>
        <w:rPr>
          <w:rFonts w:ascii="宋体" w:hAnsi="宋体" w:cs="宋体"/>
          <w:sz w:val="28"/>
          <w:szCs w:val="28"/>
        </w:rPr>
      </w:pPr>
      <w:r>
        <w:rPr>
          <w:rFonts w:hint="eastAsia" w:ascii="宋体" w:hAnsi="宋体" w:cs="宋体"/>
          <w:szCs w:val="21"/>
        </w:rPr>
        <w:t>注：本表反映部门本年度取得的各项收入情况。</w:t>
      </w: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spacing w:line="360" w:lineRule="auto"/>
        <w:ind w:firstLine="392" w:firstLineChars="187"/>
        <w:rPr>
          <w:rFonts w:ascii="宋体" w:hAnsi="宋体" w:cs="宋体"/>
        </w:rPr>
      </w:pPr>
      <w:bookmarkStart w:id="7" w:name="PO_part2Table3"/>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r>
              <w:rPr>
                <w:rFonts w:hint="eastAsia" w:ascii="宋体" w:hAnsi="宋体" w:cs="宋体"/>
                <w:kern w:val="0"/>
                <w:sz w:val="20"/>
                <w:szCs w:val="20"/>
              </w:rPr>
              <w:t>广东省卫生医疗对外合作服务中心</w:t>
            </w:r>
          </w:p>
        </w:tc>
        <w:tc>
          <w:tcPr>
            <w:tcW w:w="1772" w:type="dxa"/>
            <w:tcBorders>
              <w:top w:val="nil"/>
              <w:left w:val="nil"/>
              <w:bottom w:val="single" w:color="auto" w:sz="4" w:space="0"/>
              <w:right w:val="nil"/>
            </w:tcBorders>
            <w:vAlign w:val="center"/>
          </w:tcPr>
          <w:p>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559.72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549.74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9.98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22.18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22.18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20805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22.18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22.18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2080501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归口管理的行政单位离退休</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2080502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事业单位离退休</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10.27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10.27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2080599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其他行政事业单位离退休支出</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11.91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11.91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20808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抚恤</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2080801</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死亡抚恤</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210</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卫生健康支出</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537.54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527.55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9.98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21001</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卫生健康管理事务</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443.57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443.57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2100199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其他卫生健康管事务支出</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443.57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443.57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21099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其他卫生健康支出</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93.97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83.98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9.98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2109901</w:t>
            </w:r>
          </w:p>
        </w:tc>
        <w:tc>
          <w:tcPr>
            <w:tcW w:w="2174" w:type="dxa"/>
            <w:vAlign w:val="center"/>
          </w:tcPr>
          <w:p>
            <w:pPr>
              <w:widowControl/>
              <w:ind w:firstLine="210" w:firstLineChars="100"/>
              <w:jc w:val="left"/>
              <w:textAlignment w:val="center"/>
              <w:rPr>
                <w:rFonts w:ascii="宋体" w:hAnsi="宋体" w:cs="宋体"/>
                <w:kern w:val="0"/>
                <w:szCs w:val="21"/>
              </w:rPr>
            </w:pPr>
            <w:r>
              <w:rPr>
                <w:rFonts w:hint="eastAsia" w:ascii="宋体" w:hAnsi="宋体" w:cs="宋体"/>
                <w:color w:val="000000"/>
                <w:kern w:val="0"/>
                <w:szCs w:val="21"/>
              </w:rPr>
              <w:t>其他卫生健康支出</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93.97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83.98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9.98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w:t>
            </w:r>
          </w:p>
        </w:tc>
        <w:tc>
          <w:tcPr>
            <w:tcW w:w="2174"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（注：如需增加科目请插入新行，否则删除本行。）</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r>
    </w:tbl>
    <w:p>
      <w:pPr>
        <w:spacing w:line="288" w:lineRule="auto"/>
        <w:ind w:firstLine="420"/>
        <w:rPr>
          <w:rFonts w:ascii="宋体" w:hAnsi="宋体" w:cs="宋体"/>
        </w:rPr>
      </w:pPr>
      <w:r>
        <w:rPr>
          <w:rFonts w:hint="eastAsia" w:ascii="宋体" w:hAnsi="宋体" w:cs="宋体"/>
          <w:szCs w:val="21"/>
        </w:rPr>
        <w:t>注：本表反映部门本年度各项支出情况。</w:t>
      </w:r>
      <w:bookmarkEnd w:id="7"/>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8" w:name="PO_part2Table4"/>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部门：广东省卫生医疗对外合作服务中心</w:t>
            </w:r>
          </w:p>
        </w:tc>
        <w:tc>
          <w:tcPr>
            <w:tcW w:w="1769"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一、一般公共预算财政拨款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317.93</w:t>
            </w:r>
          </w:p>
        </w:tc>
        <w:tc>
          <w:tcPr>
            <w:tcW w:w="2772" w:type="dxa"/>
          </w:tcPr>
          <w:p>
            <w:pPr>
              <w:rPr>
                <w:rFonts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二、政府性基金预算财政拨款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772" w:type="dxa"/>
          </w:tcPr>
          <w:p>
            <w:pPr>
              <w:rPr>
                <w:rFonts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七、文化旅游体育与传媒支出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22.18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22.18</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九、卫生健康支出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297.92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297.92</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十八、自然资源海洋气象等支出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二十一、灾害防治及应急管理支出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二十二、其他支出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r>
              <w:rPr>
                <w:rFonts w:hint="eastAsia" w:ascii="宋体" w:hAnsi="宋体" w:cs="宋体"/>
                <w:b/>
                <w:bCs/>
                <w:kern w:val="0"/>
                <w:szCs w:val="21"/>
              </w:rPr>
              <w:t>本年收入合计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317.93</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320.10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320.10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年初财政拨款结转和结余</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2.17</w:t>
            </w:r>
          </w:p>
        </w:tc>
        <w:tc>
          <w:tcPr>
            <w:tcW w:w="2772" w:type="dxa"/>
            <w:vAlign w:val="center"/>
          </w:tcPr>
          <w:p>
            <w:pPr>
              <w:widowControl/>
              <w:jc w:val="center"/>
              <w:rPr>
                <w:rFonts w:ascii="宋体" w:hAnsi="宋体" w:cs="宋体"/>
                <w:kern w:val="0"/>
                <w:szCs w:val="21"/>
              </w:rPr>
            </w:pPr>
            <w:r>
              <w:rPr>
                <w:rFonts w:hint="eastAsia" w:ascii="宋体" w:hAnsi="宋体" w:cs="宋体"/>
                <w:szCs w:val="21"/>
              </w:rPr>
              <w:t>年末财政拨款结转和结余</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2.17</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ascii="宋体" w:hAnsi="宋体" w:cs="宋体"/>
                <w:kern w:val="0"/>
                <w:szCs w:val="21"/>
              </w:rPr>
            </w:pPr>
            <w:r>
              <w:rPr>
                <w:rFonts w:hint="eastAsia" w:ascii="宋体" w:hAnsi="宋体" w:cs="宋体"/>
                <w:kern w:val="0"/>
                <w:szCs w:val="21"/>
              </w:rPr>
              <w:t>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320.10</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320.10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320.10</w:t>
            </w: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0.00</w:t>
            </w:r>
          </w:p>
        </w:tc>
      </w:tr>
      <w:bookmarkEnd w:id="8"/>
    </w:tbl>
    <w:p>
      <w:pPr>
        <w:spacing w:line="288" w:lineRule="auto"/>
        <w:ind w:firstLine="420" w:firstLineChars="200"/>
        <w:rPr>
          <w:rFonts w:ascii="宋体" w:hAnsi="宋体" w:cs="宋体"/>
        </w:rPr>
      </w:pPr>
      <w:r>
        <w:rPr>
          <w:rFonts w:hint="eastAsia" w:ascii="宋体" w:hAnsi="宋体" w:cs="宋体"/>
          <w:szCs w:val="21"/>
        </w:rPr>
        <w:t>注：本表反映部门本年度财政拨款的总收支和年末结转结余情况。</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tbl>
      <w:tblPr>
        <w:tblStyle w:val="5"/>
        <w:tblpPr w:leftFromText="180" w:rightFromText="180" w:vertAnchor="text" w:horzAnchor="page" w:tblpX="1433" w:tblpY="174"/>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right"/>
              <w:rPr>
                <w:rFonts w:ascii="宋体" w:hAnsi="宋体" w:cs="宋体"/>
              </w:rPr>
            </w:pPr>
            <w:bookmarkStart w:id="9" w:name="PO_part2Table5"/>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部门：广东省卫生医疗对外合作服务中心</w:t>
            </w:r>
          </w:p>
        </w:tc>
        <w:tc>
          <w:tcPr>
            <w:tcW w:w="2835"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320.10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310.61</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22.18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22.18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20805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行政事业单位离退休</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22.18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22.18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2080501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归口管理的行政单位离退休</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2080502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事业单位离退休</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10.27</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10.27</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2080599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其他行政事业单位离退休支出</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11.91</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11.91</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210</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卫生健康支出</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21001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卫生健康管理事务</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204.45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204.45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2100199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其他卫生管理事务支出</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204.45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204.45</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21099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其他卫生健康支出</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93.47</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83.98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2109901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其他卫生健康支出</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93.47</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83.98</w:t>
            </w:r>
          </w:p>
        </w:tc>
        <w:tc>
          <w:tcPr>
            <w:tcW w:w="2835" w:type="dxa"/>
            <w:vAlign w:val="center"/>
          </w:tcPr>
          <w:p>
            <w:pPr>
              <w:widowControl/>
              <w:jc w:val="right"/>
              <w:rPr>
                <w:rFonts w:ascii="宋体" w:hAnsi="宋体" w:cs="宋体"/>
                <w:kern w:val="0"/>
                <w:szCs w:val="21"/>
              </w:rPr>
            </w:pPr>
            <w:r>
              <w:rPr>
                <w:rFonts w:hint="eastAsia" w:ascii="宋体" w:hAnsi="宋体" w:cs="宋体"/>
                <w:kern w:val="0"/>
                <w:szCs w:val="21"/>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hint="eastAsia" w:ascii="宋体" w:hAnsi="宋体" w:cs="宋体"/>
                <w:kern w:val="0"/>
                <w:szCs w:val="21"/>
              </w:rPr>
              <w:t>...</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（注：如需增加科目请插入新行，否则删除本行。）</w:t>
            </w:r>
          </w:p>
        </w:tc>
        <w:tc>
          <w:tcPr>
            <w:tcW w:w="2835" w:type="dxa"/>
            <w:vAlign w:val="center"/>
          </w:tcPr>
          <w:p>
            <w:pPr>
              <w:widowControl/>
              <w:jc w:val="right"/>
              <w:rPr>
                <w:rFonts w:ascii="宋体" w:hAnsi="宋体" w:cs="宋体"/>
                <w:kern w:val="0"/>
                <w:szCs w:val="21"/>
              </w:rPr>
            </w:pPr>
          </w:p>
        </w:tc>
        <w:tc>
          <w:tcPr>
            <w:tcW w:w="2835" w:type="dxa"/>
            <w:vAlign w:val="center"/>
          </w:tcPr>
          <w:p>
            <w:pPr>
              <w:widowControl/>
              <w:jc w:val="right"/>
              <w:rPr>
                <w:rFonts w:ascii="宋体" w:hAnsi="宋体" w:cs="宋体"/>
                <w:kern w:val="0"/>
                <w:szCs w:val="21"/>
              </w:rPr>
            </w:pPr>
          </w:p>
        </w:tc>
        <w:tc>
          <w:tcPr>
            <w:tcW w:w="2835" w:type="dxa"/>
            <w:vAlign w:val="center"/>
          </w:tcPr>
          <w:p>
            <w:pPr>
              <w:widowControl/>
              <w:jc w:val="right"/>
              <w:rPr>
                <w:rFonts w:ascii="宋体" w:hAnsi="宋体" w:cs="宋体"/>
                <w:kern w:val="0"/>
                <w:szCs w:val="21"/>
              </w:rPr>
            </w:pPr>
          </w:p>
        </w:tc>
      </w:tr>
    </w:tbl>
    <w:p>
      <w:pPr>
        <w:spacing w:line="288" w:lineRule="auto"/>
        <w:ind w:firstLine="420" w:firstLineChars="200"/>
        <w:rPr>
          <w:rFonts w:ascii="宋体" w:hAnsi="宋体" w:cs="宋体"/>
        </w:rPr>
      </w:pPr>
      <w:r>
        <w:rPr>
          <w:rFonts w:hint="eastAsia" w:ascii="宋体" w:hAnsi="宋体" w:cs="宋体"/>
          <w:szCs w:val="21"/>
        </w:rPr>
        <w:t>注：本表反映部门本年度一般公共预算财政拨款实际支出情况。</w:t>
      </w:r>
      <w:bookmarkEnd w:id="9"/>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cs="宋体"/>
                <w:sz w:val="20"/>
                <w:szCs w:val="20"/>
              </w:rPr>
            </w:pPr>
            <w:r>
              <w:rPr>
                <w:rFonts w:hint="eastAsia" w:ascii="宋体" w:hAnsi="宋体" w:cs="宋体"/>
                <w:kern w:val="0"/>
                <w:sz w:val="20"/>
                <w:szCs w:val="20"/>
              </w:rPr>
              <w:t>部门：广东省卫生医疗对外合作服务中心</w:t>
            </w:r>
          </w:p>
        </w:tc>
        <w:tc>
          <w:tcPr>
            <w:tcW w:w="2199" w:type="dxa"/>
            <w:tcBorders>
              <w:top w:val="nil"/>
              <w:left w:val="nil"/>
              <w:bottom w:val="single" w:color="auto" w:sz="4" w:space="0"/>
              <w:right w:val="nil"/>
            </w:tcBorders>
          </w:tcPr>
          <w:p>
            <w:pPr>
              <w:jc w:val="right"/>
              <w:rPr>
                <w:rFonts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260.15</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28.27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42.16</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54.17</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115.97</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12.29</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26.32</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9.25</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22.18</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pPr>
              <w:wordWrap w:val="0"/>
              <w:jc w:val="right"/>
              <w:rPr>
                <w:rFonts w:ascii="宋体" w:hAnsi="宋体" w:cs="宋体"/>
                <w:szCs w:val="21"/>
              </w:rPr>
            </w:pPr>
            <w:r>
              <w:rPr>
                <w:rFonts w:hint="eastAsia" w:ascii="宋体" w:hAnsi="宋体" w:cs="宋体"/>
                <w:kern w:val="0"/>
                <w:szCs w:val="21"/>
              </w:rPr>
              <w:t xml:space="preserve">22.18 </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widowControl/>
              <w:jc w:val="right"/>
              <w:rPr>
                <w:rFonts w:ascii="宋体" w:hAnsi="宋体" w:cs="宋体"/>
                <w:kern w:val="0"/>
                <w:szCs w:val="21"/>
              </w:rPr>
            </w:pPr>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hint="eastAsia" w:ascii="宋体" w:hAnsi="宋体" w:cs="宋体"/>
                <w:kern w:val="0"/>
                <w:szCs w:val="21"/>
              </w:rPr>
              <w:t>282.33</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ascii="宋体" w:hAnsi="宋体" w:cs="宋体"/>
                <w:kern w:val="0"/>
                <w:szCs w:val="21"/>
              </w:rPr>
            </w:pPr>
            <w:r>
              <w:rPr>
                <w:rFonts w:hint="eastAsia" w:ascii="宋体" w:hAnsi="宋体" w:cs="宋体"/>
                <w:kern w:val="0"/>
                <w:szCs w:val="21"/>
              </w:rPr>
              <w:t>28.27</w:t>
            </w:r>
          </w:p>
        </w:tc>
      </w:tr>
    </w:tbl>
    <w:p>
      <w:pPr>
        <w:spacing w:line="288" w:lineRule="auto"/>
        <w:rPr>
          <w:rFonts w:ascii="宋体" w:hAnsi="宋体" w:cs="宋体"/>
        </w:rPr>
      </w:pPr>
      <w:r>
        <w:rPr>
          <w:rFonts w:hint="eastAsia" w:ascii="宋体" w:hAnsi="宋体" w:cs="宋体"/>
          <w:szCs w:val="21"/>
        </w:rPr>
        <w:t>注：本表反映部门本年度一般公共预算财政拨款基本支出明细情况。</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0" w:name="PO_part2Table7"/>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部门：广东省卫生医疗对外合作服务中心</w:t>
            </w:r>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r>
              <w:rPr>
                <w:rFonts w:hint="eastAsia" w:ascii="宋体" w:hAnsi="宋体" w:cs="宋体"/>
                <w:kern w:val="0"/>
                <w:szCs w:val="21"/>
              </w:rPr>
              <w:t>4.66</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4.00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0.66</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2.4</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1.9</w:t>
            </w:r>
          </w:p>
        </w:tc>
        <w:tc>
          <w:tcPr>
            <w:tcW w:w="1171" w:type="dxa"/>
            <w:vAlign w:val="center"/>
          </w:tcPr>
          <w:p>
            <w:pPr>
              <w:widowControl/>
              <w:jc w:val="right"/>
              <w:rPr>
                <w:rFonts w:ascii="宋体" w:hAnsi="宋体" w:cs="宋体"/>
                <w:kern w:val="0"/>
                <w:szCs w:val="21"/>
              </w:rPr>
            </w:pPr>
            <w:r>
              <w:rPr>
                <w:rFonts w:hint="eastAsia" w:ascii="宋体" w:hAnsi="宋体" w:cs="宋体"/>
                <w:kern w:val="0"/>
                <w:szCs w:val="21"/>
              </w:rPr>
              <w:t>0.50</w:t>
            </w:r>
          </w:p>
        </w:tc>
      </w:tr>
      <w:bookmarkEnd w:id="10"/>
    </w:tbl>
    <w:p>
      <w:pPr>
        <w:spacing w:line="288" w:lineRule="auto"/>
        <w:rPr>
          <w:rFonts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11" w:name="PO_part2Table8"/>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cs="宋体"/>
              </w:rPr>
            </w:pPr>
            <w:r>
              <w:rPr>
                <w:rFonts w:hint="eastAsia" w:ascii="宋体" w:hAnsi="宋体" w:cs="宋体"/>
                <w:kern w:val="0"/>
                <w:sz w:val="20"/>
                <w:szCs w:val="20"/>
              </w:rPr>
              <w:t>部门：广东省卫生医疗对外合作服务中心</w:t>
            </w:r>
          </w:p>
        </w:tc>
        <w:tc>
          <w:tcPr>
            <w:tcW w:w="7088" w:type="dxa"/>
            <w:gridSpan w:val="4"/>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595"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ascii="宋体" w:hAnsi="宋体" w:cs="宋体"/>
                <w:kern w:val="0"/>
                <w:szCs w:val="21"/>
              </w:rPr>
            </w:pPr>
          </w:p>
        </w:tc>
        <w:tc>
          <w:tcPr>
            <w:tcW w:w="2595"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20822</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大中型水库移民后期扶持基金支出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2082299</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其他大中型水库移民后期扶持基金支出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212</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21208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2120801</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征地和拆迁补偿支出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21211</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2121100</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农业土地开发资金安排的支出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其他支出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彩票发行销售机构业务费安排的支出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2290805</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体育彩票销售机构的业务费支出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2290808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彩票市场调控资金支出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22960</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彩票公益金安排的支出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2296003</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用于体育事业的彩票公益金支出</w:t>
            </w:r>
          </w:p>
        </w:tc>
        <w:tc>
          <w:tcPr>
            <w:tcW w:w="1740"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666"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772" w:type="dxa"/>
            <w:vAlign w:val="center"/>
          </w:tcPr>
          <w:p>
            <w:pPr>
              <w:widowControl/>
              <w:jc w:val="right"/>
              <w:rPr>
                <w:rFonts w:ascii="宋体" w:hAnsi="宋体" w:cs="宋体"/>
                <w:kern w:val="0"/>
                <w:szCs w:val="21"/>
              </w:rPr>
            </w:pPr>
            <w:r>
              <w:rPr>
                <w:rFonts w:hint="eastAsia"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hint="eastAsia" w:ascii="宋体" w:hAnsi="宋体" w:cs="宋体"/>
                <w:kern w:val="0"/>
                <w:szCs w:val="21"/>
              </w:rPr>
              <w:t>...</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（注：如需增加科目请插入新行，否则删除本行。）</w:t>
            </w:r>
          </w:p>
        </w:tc>
        <w:tc>
          <w:tcPr>
            <w:tcW w:w="1740" w:type="dxa"/>
            <w:vAlign w:val="center"/>
          </w:tcPr>
          <w:p>
            <w:pPr>
              <w:widowControl/>
              <w:jc w:val="right"/>
              <w:rPr>
                <w:rFonts w:ascii="宋体" w:hAnsi="宋体" w:cs="宋体"/>
                <w:kern w:val="0"/>
                <w:szCs w:val="21"/>
              </w:rPr>
            </w:pPr>
          </w:p>
        </w:tc>
        <w:tc>
          <w:tcPr>
            <w:tcW w:w="1666"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r>
      <w:bookmarkEnd w:id="11"/>
    </w:tbl>
    <w:p>
      <w:pPr>
        <w:widowControl/>
        <w:jc w:val="left"/>
        <w:rPr>
          <w:rFonts w:ascii="宋体" w:hAnsi="宋体" w:cs="宋体"/>
          <w:sz w:val="28"/>
          <w:szCs w:val="28"/>
        </w:rPr>
      </w:pPr>
      <w:r>
        <w:rPr>
          <w:rFonts w:hint="eastAsia" w:ascii="宋体" w:hAnsi="宋体" w:cs="宋体"/>
          <w:szCs w:val="21"/>
        </w:rPr>
        <w:t>注：本表反映部门本年度政府性基金预算财政拨款收入、支出及结转结余情况</w:t>
      </w:r>
      <w:r>
        <w:rPr>
          <w:rFonts w:hint="eastAsia" w:ascii="宋体" w:hAnsi="宋体" w:cs="宋体"/>
          <w:sz w:val="28"/>
          <w:szCs w:val="28"/>
        </w:rPr>
        <w:t>。</w:t>
      </w:r>
    </w:p>
    <w:p>
      <w:pPr>
        <w:widowControl/>
        <w:jc w:val="left"/>
        <w:rPr>
          <w:rFonts w:ascii="宋体" w:hAnsi="宋体" w:cs="宋体"/>
          <w:szCs w:val="21"/>
        </w:rPr>
      </w:pPr>
    </w:p>
    <w:p>
      <w:pPr>
        <w:widowControl/>
        <w:jc w:val="left"/>
        <w:rPr>
          <w:rFonts w:ascii="宋体" w:hAnsi="宋体" w:cs="宋体"/>
          <w:szCs w:val="21"/>
        </w:rPr>
      </w:pPr>
    </w:p>
    <w:p>
      <w:pPr>
        <w:widowControl/>
        <w:jc w:val="left"/>
        <w:rPr>
          <w:rFonts w:ascii="宋体" w:hAnsi="宋体" w:cs="宋体"/>
          <w:szCs w:val="21"/>
        </w:rPr>
      </w:pPr>
    </w:p>
    <w:p>
      <w:pPr>
        <w:widowControl/>
        <w:jc w:val="left"/>
        <w:rPr>
          <w:rFonts w:ascii="黑体" w:hAnsi="黑体" w:eastAsia="黑体" w:cs="方正小标宋简体"/>
          <w:sz w:val="44"/>
          <w:szCs w:val="44"/>
        </w:rPr>
        <w:sectPr>
          <w:pgSz w:w="16838" w:h="11906" w:orient="landscape"/>
          <w:pgMar w:top="1531" w:right="1077" w:bottom="1531" w:left="1077" w:header="851" w:footer="992" w:gutter="0"/>
          <w:cols w:space="425" w:num="1"/>
          <w:docGrid w:type="lines" w:linePitch="312" w:charSpace="0"/>
        </w:sectPr>
      </w:pPr>
    </w:p>
    <w:p>
      <w:pPr>
        <w:numPr>
          <w:ilvl w:val="0"/>
          <w:numId w:val="3"/>
        </w:numPr>
        <w:spacing w:line="288" w:lineRule="auto"/>
        <w:jc w:val="center"/>
        <w:outlineLvl w:val="0"/>
        <w:rPr>
          <w:rFonts w:ascii="仿宋_GB2312" w:hAnsi="宋体" w:eastAsia="仿宋_GB2312" w:cs="宋体"/>
          <w:b/>
          <w:sz w:val="36"/>
          <w:szCs w:val="36"/>
        </w:rPr>
      </w:pPr>
      <w:bookmarkStart w:id="12" w:name="PO_part3DivNameYear1"/>
      <w:r>
        <w:rPr>
          <w:rFonts w:hint="eastAsia" w:ascii="仿宋_GB2312" w:hAnsi="宋体" w:eastAsia="仿宋_GB2312" w:cs="宋体"/>
          <w:b/>
          <w:sz w:val="36"/>
          <w:szCs w:val="36"/>
        </w:rPr>
        <w:t>广东省卫生医疗对外合作服务中心</w:t>
      </w:r>
    </w:p>
    <w:p>
      <w:p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2019</w:t>
      </w:r>
      <w:bookmarkEnd w:id="12"/>
      <w:r>
        <w:rPr>
          <w:rFonts w:hint="eastAsia" w:ascii="仿宋_GB2312" w:hAnsi="宋体" w:eastAsia="仿宋_GB2312" w:cs="宋体"/>
          <w:b/>
          <w:sz w:val="36"/>
          <w:szCs w:val="36"/>
        </w:rPr>
        <w:t>年部门决算情况说明</w:t>
      </w:r>
    </w:p>
    <w:p>
      <w:pPr>
        <w:spacing w:line="288" w:lineRule="auto"/>
        <w:jc w:val="center"/>
        <w:outlineLvl w:val="0"/>
        <w:rPr>
          <w:rFonts w:ascii="仿宋_GB2312" w:hAnsi="宋体" w:eastAsia="仿宋_GB2312" w:cs="宋体"/>
          <w:b/>
          <w:sz w:val="36"/>
          <w:szCs w:val="36"/>
        </w:rPr>
      </w:pPr>
    </w:p>
    <w:p>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r>
        <w:rPr>
          <w:rFonts w:hint="eastAsia" w:ascii="仿宋_GB2312" w:hAnsi="宋体" w:eastAsia="仿宋_GB2312" w:cs="宋体"/>
          <w:b/>
          <w:sz w:val="32"/>
          <w:szCs w:val="32"/>
        </w:rPr>
        <w:t>2019年度收入支出决算总体情况说明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pPr>
        <w:spacing w:line="288" w:lineRule="auto"/>
        <w:ind w:firstLine="640" w:firstLineChars="200"/>
        <w:jc w:val="left"/>
        <w:rPr>
          <w:rFonts w:ascii="仿宋_GB2312" w:hAnsi="宋体" w:eastAsia="仿宋_GB2312" w:cs="宋体"/>
          <w:sz w:val="32"/>
          <w:szCs w:val="32"/>
        </w:rPr>
      </w:pPr>
      <w:bookmarkStart w:id="13" w:name="PO_part3A1B1DivNameYear1"/>
      <w:r>
        <w:rPr>
          <w:rFonts w:hint="eastAsia" w:ascii="仿宋_GB2312" w:hAnsi="宋体" w:eastAsia="仿宋_GB2312" w:cs="宋体"/>
          <w:sz w:val="32"/>
          <w:szCs w:val="32"/>
        </w:rPr>
        <w:t xml:space="preserve"> 广东省卫生医疗对外合作服务中心2019</w:t>
      </w:r>
      <w:bookmarkEnd w:id="13"/>
      <w:r>
        <w:rPr>
          <w:rFonts w:hint="eastAsia" w:ascii="仿宋_GB2312" w:hAnsi="宋体" w:eastAsia="仿宋_GB2312" w:cs="宋体"/>
          <w:sz w:val="32"/>
          <w:szCs w:val="32"/>
        </w:rPr>
        <w:t>年度总收入611.68万元，其中本年收入</w:t>
      </w:r>
      <w:bookmarkStart w:id="14" w:name="PO_part3A1B1Amount2"/>
      <w:r>
        <w:rPr>
          <w:rFonts w:hint="eastAsia" w:ascii="仿宋_GB2312" w:hAnsi="宋体" w:eastAsia="仿宋_GB2312" w:cs="宋体"/>
          <w:sz w:val="32"/>
          <w:szCs w:val="32"/>
        </w:rPr>
        <w:t>378.09</w:t>
      </w:r>
      <w:bookmarkEnd w:id="14"/>
      <w:r>
        <w:rPr>
          <w:rFonts w:hint="eastAsia" w:ascii="仿宋_GB2312" w:hAnsi="宋体" w:eastAsia="仿宋_GB2312" w:cs="宋体"/>
          <w:sz w:val="32"/>
          <w:szCs w:val="32"/>
        </w:rPr>
        <w:t>万元。具体情况如下：</w:t>
      </w:r>
    </w:p>
    <w:p>
      <w:pPr>
        <w:spacing w:line="288" w:lineRule="auto"/>
        <w:ind w:firstLine="480" w:firstLineChars="150"/>
        <w:jc w:val="left"/>
        <w:rPr>
          <w:rFonts w:ascii="仿宋_GB2312" w:hAnsi="宋体" w:eastAsia="仿宋_GB2312" w:cs="宋体"/>
          <w:sz w:val="32"/>
          <w:szCs w:val="32"/>
        </w:rPr>
      </w:pPr>
      <w:r>
        <w:rPr>
          <w:rFonts w:hint="eastAsia" w:ascii="仿宋_GB2312" w:hAnsi="宋体" w:eastAsia="仿宋_GB2312" w:cs="宋体"/>
          <w:sz w:val="32"/>
          <w:szCs w:val="32"/>
        </w:rPr>
        <w:t>1.一般公共预算财政拨款收入317.93万元，</w:t>
      </w:r>
      <w:bookmarkStart w:id="15" w:name="PO_part3A1B1C1IncPercentIncAmount1"/>
      <w:r>
        <w:rPr>
          <w:rFonts w:hint="eastAsia" w:ascii="仿宋_GB2312" w:hAnsi="宋体" w:eastAsia="仿宋_GB2312" w:cs="宋体"/>
          <w:sz w:val="32"/>
          <w:szCs w:val="32"/>
        </w:rPr>
        <w:t>比上年决算数增加95.49万元，增长42.93%。主要变动情况：</w:t>
      </w:r>
      <w:bookmarkEnd w:id="15"/>
      <w:r>
        <w:rPr>
          <w:rFonts w:hint="eastAsia" w:ascii="仿宋_GB2312" w:hAnsi="宋体" w:eastAsia="仿宋_GB2312" w:cs="宋体"/>
          <w:sz w:val="32"/>
          <w:szCs w:val="32"/>
        </w:rPr>
        <w:t>主要是增加人员经费和公用经费拨款。</w:t>
      </w:r>
    </w:p>
    <w:p>
      <w:pPr>
        <w:spacing w:line="288" w:lineRule="auto"/>
        <w:ind w:left="640"/>
        <w:jc w:val="left"/>
        <w:rPr>
          <w:rFonts w:ascii="仿宋_GB2312" w:hAnsi="宋体" w:eastAsia="仿宋_GB2312" w:cs="宋体"/>
          <w:sz w:val="32"/>
          <w:szCs w:val="32"/>
        </w:rPr>
      </w:pPr>
      <w:r>
        <w:rPr>
          <w:rFonts w:hint="eastAsia" w:ascii="仿宋_GB2312" w:hAnsi="宋体" w:eastAsia="仿宋_GB2312" w:cs="宋体"/>
          <w:sz w:val="32"/>
          <w:szCs w:val="32"/>
        </w:rPr>
        <w:t>2.政府性基金预算财政拨款收入</w:t>
      </w:r>
      <w:bookmarkStart w:id="16" w:name="PO_part3A1B1C2Amount1"/>
      <w:r>
        <w:rPr>
          <w:rFonts w:hint="eastAsia" w:ascii="仿宋_GB2312" w:hAnsi="宋体" w:eastAsia="仿宋_GB2312" w:cs="宋体"/>
          <w:sz w:val="32"/>
          <w:szCs w:val="32"/>
        </w:rPr>
        <w:t>0</w:t>
      </w:r>
      <w:bookmarkEnd w:id="16"/>
      <w:r>
        <w:rPr>
          <w:rFonts w:hint="eastAsia" w:ascii="仿宋_GB2312" w:hAnsi="宋体" w:eastAsia="仿宋_GB2312" w:cs="宋体"/>
          <w:sz w:val="32"/>
          <w:szCs w:val="32"/>
        </w:rPr>
        <w:t>万元，</w:t>
      </w:r>
      <w:bookmarkStart w:id="17" w:name="PO_part3A1B1C2IncPercentIncAmount1"/>
      <w:r>
        <w:rPr>
          <w:rFonts w:hint="eastAsia" w:ascii="仿宋_GB2312" w:hAnsi="宋体" w:eastAsia="仿宋_GB2312" w:cs="宋体"/>
          <w:sz w:val="32"/>
          <w:szCs w:val="32"/>
        </w:rPr>
        <w:t>与上年决算数持平。</w:t>
      </w:r>
      <w:bookmarkEnd w:id="17"/>
    </w:p>
    <w:p>
      <w:pPr>
        <w:spacing w:line="288" w:lineRule="auto"/>
        <w:ind w:left="640"/>
        <w:jc w:val="left"/>
        <w:rPr>
          <w:rFonts w:ascii="仿宋_GB2312" w:hAnsi="宋体" w:eastAsia="仿宋_GB2312" w:cs="宋体"/>
          <w:sz w:val="32"/>
          <w:szCs w:val="32"/>
        </w:rPr>
      </w:pPr>
      <w:r>
        <w:rPr>
          <w:rFonts w:hint="eastAsia" w:ascii="仿宋_GB2312" w:hAnsi="宋体" w:eastAsia="仿宋_GB2312" w:cs="宋体"/>
          <w:sz w:val="32"/>
          <w:szCs w:val="32"/>
        </w:rPr>
        <w:t>3.上级补助收入0万元，</w:t>
      </w:r>
      <w:bookmarkStart w:id="18" w:name="PO_part3A1B1C3IncPercentIncAmount1"/>
      <w:r>
        <w:rPr>
          <w:rFonts w:hint="eastAsia" w:ascii="仿宋_GB2312" w:hAnsi="宋体" w:eastAsia="仿宋_GB2312" w:cs="宋体"/>
          <w:sz w:val="32"/>
          <w:szCs w:val="32"/>
        </w:rPr>
        <w:t>与上年决算数持平。</w:t>
      </w:r>
      <w:bookmarkEnd w:id="18"/>
    </w:p>
    <w:p>
      <w:pPr>
        <w:spacing w:line="288" w:lineRule="auto"/>
        <w:ind w:left="640"/>
        <w:jc w:val="left"/>
        <w:rPr>
          <w:rFonts w:ascii="仿宋_GB2312" w:hAnsi="宋体" w:eastAsia="仿宋_GB2312" w:cs="宋体"/>
          <w:sz w:val="32"/>
          <w:szCs w:val="32"/>
        </w:rPr>
      </w:pPr>
      <w:r>
        <w:rPr>
          <w:rFonts w:hint="eastAsia" w:ascii="仿宋_GB2312" w:hAnsi="宋体" w:eastAsia="仿宋_GB2312" w:cs="宋体"/>
          <w:sz w:val="32"/>
          <w:szCs w:val="32"/>
        </w:rPr>
        <w:t>4．事业收入48.23万元，</w:t>
      </w:r>
      <w:bookmarkStart w:id="19" w:name="PO_part3A1B1C4IncPercentIncAmount1"/>
      <w:r>
        <w:rPr>
          <w:rFonts w:hint="eastAsia" w:ascii="仿宋_GB2312" w:hAnsi="宋体" w:eastAsia="仿宋_GB2312" w:cs="宋体"/>
          <w:sz w:val="32"/>
          <w:szCs w:val="32"/>
        </w:rPr>
        <w:t>比上年决算数减少475.94万元，下降90.8%。主要变动情况：主要是2019年全年的仓储费收入和药械管理费未拨款未到账，造成事业收入减少。</w:t>
      </w:r>
      <w:bookmarkEnd w:id="19"/>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5．经营收入</w:t>
      </w:r>
      <w:bookmarkStart w:id="20" w:name="PO_part3A1B1C5Amount1"/>
      <w:r>
        <w:rPr>
          <w:rFonts w:hint="eastAsia" w:ascii="仿宋_GB2312" w:hAnsi="宋体" w:eastAsia="仿宋_GB2312" w:cs="宋体"/>
          <w:sz w:val="32"/>
          <w:szCs w:val="32"/>
        </w:rPr>
        <w:t>0</w:t>
      </w:r>
      <w:bookmarkEnd w:id="20"/>
      <w:r>
        <w:rPr>
          <w:rFonts w:hint="eastAsia" w:ascii="仿宋_GB2312" w:hAnsi="宋体" w:eastAsia="仿宋_GB2312" w:cs="宋体"/>
          <w:sz w:val="32"/>
          <w:szCs w:val="32"/>
        </w:rPr>
        <w:t>万元，</w:t>
      </w:r>
      <w:bookmarkStart w:id="21" w:name="PO_part3A1B1C5IncPercentIncAmount1"/>
      <w:r>
        <w:rPr>
          <w:rFonts w:hint="eastAsia" w:ascii="仿宋_GB2312" w:hAnsi="宋体" w:eastAsia="仿宋_GB2312" w:cs="宋体"/>
          <w:sz w:val="32"/>
          <w:szCs w:val="32"/>
        </w:rPr>
        <w:t>与上年决算数持平。</w:t>
      </w:r>
      <w:bookmarkEnd w:id="21"/>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6.附属单位上缴收入0万元，</w:t>
      </w:r>
      <w:bookmarkStart w:id="22" w:name="PO_part3A1B1C6IncPercentIncAmount1"/>
      <w:r>
        <w:rPr>
          <w:rFonts w:hint="eastAsia" w:ascii="仿宋_GB2312" w:hAnsi="宋体" w:eastAsia="仿宋_GB2312" w:cs="宋体"/>
          <w:sz w:val="32"/>
          <w:szCs w:val="32"/>
        </w:rPr>
        <w:t>与上年决算数持平。</w:t>
      </w:r>
      <w:bookmarkEnd w:id="22"/>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7．其他收入11.93万元，</w:t>
      </w:r>
      <w:bookmarkStart w:id="23" w:name="PO_part3A1B1C7IncPercentIncAmount1"/>
      <w:r>
        <w:rPr>
          <w:rFonts w:hint="eastAsia" w:ascii="仿宋_GB2312" w:hAnsi="宋体" w:eastAsia="仿宋_GB2312" w:cs="宋体"/>
          <w:sz w:val="32"/>
          <w:szCs w:val="32"/>
        </w:rPr>
        <w:t xml:space="preserve">比上年决算数减少2.06万元，下降14.7%。主要变动情况：利息收入减少。 </w:t>
      </w:r>
      <w:bookmarkEnd w:id="23"/>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pPr>
        <w:spacing w:line="288" w:lineRule="auto"/>
        <w:ind w:firstLine="640" w:firstLineChars="200"/>
        <w:jc w:val="left"/>
        <w:rPr>
          <w:rFonts w:ascii="仿宋_GB2312" w:hAnsi="宋体" w:eastAsia="仿宋_GB2312" w:cs="宋体"/>
          <w:sz w:val="32"/>
          <w:szCs w:val="32"/>
        </w:rPr>
      </w:pPr>
      <w:bookmarkStart w:id="24" w:name="PO_part3A1B2DivNameYear1"/>
      <w:r>
        <w:rPr>
          <w:rFonts w:hint="eastAsia" w:ascii="仿宋_GB2312" w:hAnsi="宋体" w:eastAsia="仿宋_GB2312" w:cs="宋体"/>
          <w:sz w:val="32"/>
          <w:szCs w:val="32"/>
        </w:rPr>
        <w:t xml:space="preserve"> 广东省卫生医疗对外合作服务中心2019</w:t>
      </w:r>
      <w:bookmarkEnd w:id="24"/>
      <w:r>
        <w:rPr>
          <w:rFonts w:hint="eastAsia" w:ascii="仿宋_GB2312" w:hAnsi="宋体" w:eastAsia="仿宋_GB2312" w:cs="宋体"/>
          <w:sz w:val="32"/>
          <w:szCs w:val="32"/>
        </w:rPr>
        <w:t>年度总支出</w:t>
      </w:r>
      <w:bookmarkStart w:id="25" w:name="PO_part3A1B2Amount1"/>
      <w:r>
        <w:rPr>
          <w:rFonts w:hint="eastAsia" w:ascii="仿宋_GB2312" w:hAnsi="宋体" w:eastAsia="仿宋_GB2312" w:cs="宋体"/>
          <w:sz w:val="32"/>
          <w:szCs w:val="32"/>
        </w:rPr>
        <w:t>611.68</w:t>
      </w:r>
      <w:bookmarkEnd w:id="25"/>
      <w:r>
        <w:rPr>
          <w:rFonts w:hint="eastAsia" w:ascii="仿宋_GB2312" w:hAnsi="宋体" w:eastAsia="仿宋_GB2312" w:cs="宋体"/>
          <w:sz w:val="32"/>
          <w:szCs w:val="32"/>
        </w:rPr>
        <w:t>万元，其中本年支出</w:t>
      </w:r>
      <w:bookmarkStart w:id="26" w:name="PO_part3A1B2Amount2"/>
      <w:r>
        <w:rPr>
          <w:rFonts w:hint="eastAsia" w:ascii="仿宋_GB2312" w:hAnsi="宋体" w:eastAsia="仿宋_GB2312" w:cs="宋体"/>
          <w:sz w:val="32"/>
          <w:szCs w:val="32"/>
        </w:rPr>
        <w:t>559.72</w:t>
      </w:r>
      <w:bookmarkEnd w:id="26"/>
      <w:r>
        <w:rPr>
          <w:rFonts w:hint="eastAsia" w:ascii="仿宋_GB2312" w:hAnsi="宋体" w:eastAsia="仿宋_GB2312" w:cs="宋体"/>
          <w:sz w:val="32"/>
          <w:szCs w:val="32"/>
        </w:rPr>
        <w:t>万元。具体情况如下：</w:t>
      </w:r>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1.基本支出549.74万元，</w:t>
      </w:r>
      <w:bookmarkStart w:id="27" w:name="PO_part3A1B2C1IncPercentIncAmount1"/>
      <w:r>
        <w:rPr>
          <w:rFonts w:hint="eastAsia" w:ascii="仿宋_GB2312" w:hAnsi="宋体" w:eastAsia="仿宋_GB2312" w:cs="宋体"/>
          <w:sz w:val="32"/>
          <w:szCs w:val="32"/>
        </w:rPr>
        <w:t xml:space="preserve">比上年决算数增加7.65万元，增长1.4%。 </w:t>
      </w:r>
      <w:bookmarkEnd w:id="27"/>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bookmarkStart w:id="28" w:name="PO_part3A1B2C2Amount1"/>
      <w:r>
        <w:rPr>
          <w:rFonts w:hint="eastAsia" w:ascii="仿宋_GB2312" w:hAnsi="宋体" w:eastAsia="仿宋_GB2312" w:cs="宋体"/>
          <w:sz w:val="32"/>
          <w:szCs w:val="32"/>
        </w:rPr>
        <w:t>9.98</w:t>
      </w:r>
      <w:bookmarkEnd w:id="28"/>
      <w:r>
        <w:rPr>
          <w:rFonts w:hint="eastAsia" w:ascii="仿宋_GB2312" w:hAnsi="宋体" w:eastAsia="仿宋_GB2312" w:cs="宋体"/>
          <w:sz w:val="32"/>
          <w:szCs w:val="32"/>
        </w:rPr>
        <w:t>万元，</w:t>
      </w:r>
      <w:bookmarkStart w:id="29" w:name="PO_part3A1B2C2IncPercentIncAmount1"/>
      <w:r>
        <w:rPr>
          <w:rFonts w:hint="eastAsia" w:ascii="仿宋_GB2312" w:hAnsi="宋体" w:eastAsia="仿宋_GB2312" w:cs="宋体"/>
          <w:sz w:val="32"/>
          <w:szCs w:val="32"/>
        </w:rPr>
        <w:t xml:space="preserve">比上年决算数减少38.85万元，增下降）79.6%，主要变动情况：2019年减少了专项支出。 </w:t>
      </w:r>
      <w:bookmarkEnd w:id="29"/>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bookmarkStart w:id="30" w:name="PO_part3A1B2C3Amount1"/>
      <w:r>
        <w:rPr>
          <w:rFonts w:hint="eastAsia" w:ascii="仿宋_GB2312" w:hAnsi="宋体" w:eastAsia="仿宋_GB2312" w:cs="宋体"/>
          <w:sz w:val="32"/>
          <w:szCs w:val="32"/>
        </w:rPr>
        <w:t>0</w:t>
      </w:r>
      <w:bookmarkEnd w:id="30"/>
      <w:r>
        <w:rPr>
          <w:rFonts w:hint="eastAsia" w:ascii="仿宋_GB2312" w:hAnsi="宋体" w:eastAsia="仿宋_GB2312" w:cs="宋体"/>
          <w:sz w:val="32"/>
          <w:szCs w:val="32"/>
        </w:rPr>
        <w:t>万元，</w:t>
      </w:r>
      <w:bookmarkStart w:id="31" w:name="PO_part3A1B2C3IncPercentIncAmount1"/>
      <w:r>
        <w:rPr>
          <w:rFonts w:hint="eastAsia" w:ascii="仿宋_GB2312" w:hAnsi="宋体" w:eastAsia="仿宋_GB2312" w:cs="宋体"/>
          <w:sz w:val="32"/>
          <w:szCs w:val="32"/>
        </w:rPr>
        <w:t>与上年决算数持平。</w:t>
      </w:r>
      <w:bookmarkEnd w:id="31"/>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bookmarkStart w:id="32" w:name="PO_part3A1B2C4Amount1"/>
      <w:r>
        <w:rPr>
          <w:rFonts w:hint="eastAsia" w:ascii="仿宋_GB2312" w:hAnsi="宋体" w:eastAsia="仿宋_GB2312" w:cs="宋体"/>
          <w:sz w:val="32"/>
          <w:szCs w:val="32"/>
        </w:rPr>
        <w:t>0</w:t>
      </w:r>
      <w:bookmarkEnd w:id="32"/>
      <w:r>
        <w:rPr>
          <w:rFonts w:hint="eastAsia" w:ascii="仿宋_GB2312" w:hAnsi="宋体" w:eastAsia="仿宋_GB2312" w:cs="宋体"/>
          <w:sz w:val="32"/>
          <w:szCs w:val="32"/>
        </w:rPr>
        <w:t>万元，</w:t>
      </w:r>
      <w:bookmarkStart w:id="33" w:name="PO_part3A1B2C4IncPercentIncAmount1"/>
      <w:r>
        <w:rPr>
          <w:rFonts w:hint="eastAsia" w:ascii="仿宋_GB2312" w:hAnsi="宋体" w:eastAsia="仿宋_GB2312" w:cs="宋体"/>
          <w:sz w:val="32"/>
          <w:szCs w:val="32"/>
        </w:rPr>
        <w:t>与上年决算数持平。</w:t>
      </w:r>
      <w:bookmarkEnd w:id="33"/>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34" w:name="PO_part3A1B2C5Amount1"/>
      <w:r>
        <w:rPr>
          <w:rFonts w:hint="eastAsia" w:ascii="仿宋_GB2312" w:hAnsi="宋体" w:eastAsia="仿宋_GB2312" w:cs="宋体"/>
          <w:sz w:val="32"/>
          <w:szCs w:val="32"/>
        </w:rPr>
        <w:t>0</w:t>
      </w:r>
      <w:bookmarkEnd w:id="34"/>
      <w:r>
        <w:rPr>
          <w:rFonts w:hint="eastAsia" w:ascii="仿宋_GB2312" w:hAnsi="宋体" w:eastAsia="仿宋_GB2312" w:cs="宋体"/>
          <w:sz w:val="32"/>
          <w:szCs w:val="32"/>
        </w:rPr>
        <w:t>万元，</w:t>
      </w:r>
      <w:bookmarkStart w:id="35" w:name="PO_part3A1B2C5IncPercentIncAmount1"/>
      <w:r>
        <w:rPr>
          <w:rFonts w:hint="eastAsia" w:ascii="仿宋_GB2312" w:hAnsi="宋体" w:eastAsia="仿宋_GB2312" w:cs="宋体"/>
          <w:sz w:val="32"/>
          <w:szCs w:val="32"/>
        </w:rPr>
        <w:t xml:space="preserve">与上年决算数持平。 </w:t>
      </w:r>
      <w:bookmarkEnd w:id="3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36" w:name="PO_part3A2Year1"/>
      <w:r>
        <w:rPr>
          <w:rFonts w:hint="eastAsia" w:ascii="仿宋_GB2312" w:hAnsi="宋体" w:eastAsia="仿宋_GB2312" w:cs="宋体"/>
          <w:b/>
          <w:sz w:val="32"/>
          <w:szCs w:val="32"/>
        </w:rPr>
        <w:t>2019</w:t>
      </w:r>
      <w:bookmarkEnd w:id="36"/>
      <w:r>
        <w:rPr>
          <w:rFonts w:hint="eastAsia" w:ascii="仿宋_GB2312" w:hAnsi="宋体" w:eastAsia="仿宋_GB2312" w:cs="宋体"/>
          <w:b/>
          <w:sz w:val="32"/>
          <w:szCs w:val="32"/>
        </w:rPr>
        <w:t>年度财政拨款收入支出总表说明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bookmarkStart w:id="37" w:name="PO_part3A2B1Year1"/>
      <w:r>
        <w:rPr>
          <w:rFonts w:hint="eastAsia" w:ascii="仿宋_GB2312" w:hAnsi="宋体" w:eastAsia="仿宋_GB2312" w:cs="宋体"/>
          <w:b/>
          <w:sz w:val="32"/>
          <w:szCs w:val="32"/>
        </w:rPr>
        <w:t>2019</w:t>
      </w:r>
      <w:bookmarkEnd w:id="37"/>
      <w:r>
        <w:rPr>
          <w:rFonts w:hint="eastAsia" w:ascii="仿宋_GB2312" w:hAnsi="宋体" w:eastAsia="仿宋_GB2312" w:cs="宋体"/>
          <w:b/>
          <w:sz w:val="32"/>
          <w:szCs w:val="32"/>
        </w:rPr>
        <w:t>年度财政拨款收入说明</w:t>
      </w:r>
    </w:p>
    <w:p>
      <w:pPr>
        <w:spacing w:line="288" w:lineRule="auto"/>
        <w:ind w:firstLine="480" w:firstLineChars="150"/>
        <w:jc w:val="left"/>
        <w:rPr>
          <w:rFonts w:ascii="仿宋_GB2312" w:hAnsi="宋体" w:eastAsia="仿宋_GB2312" w:cs="宋体"/>
          <w:sz w:val="32"/>
          <w:szCs w:val="32"/>
        </w:rPr>
      </w:pPr>
      <w:bookmarkStart w:id="38" w:name="PO_part3A2B1C1DivNameYear1"/>
      <w:r>
        <w:rPr>
          <w:rFonts w:hint="eastAsia" w:ascii="仿宋_GB2312" w:hAnsi="宋体" w:eastAsia="仿宋_GB2312" w:cs="宋体"/>
          <w:sz w:val="32"/>
          <w:szCs w:val="32"/>
        </w:rPr>
        <w:t xml:space="preserve"> 广东省卫生医疗对外合作服务中心2019</w:t>
      </w:r>
      <w:bookmarkEnd w:id="38"/>
      <w:r>
        <w:rPr>
          <w:rFonts w:hint="eastAsia" w:ascii="仿宋_GB2312" w:hAnsi="宋体" w:eastAsia="仿宋_GB2312" w:cs="宋体"/>
          <w:sz w:val="32"/>
          <w:szCs w:val="32"/>
        </w:rPr>
        <w:t>年度财政拨款收入合计</w:t>
      </w:r>
      <w:bookmarkStart w:id="39" w:name="PO_part3A2B1C1TotalAmount1"/>
      <w:r>
        <w:rPr>
          <w:rFonts w:hint="eastAsia" w:ascii="仿宋_GB2312" w:hAnsi="宋体" w:eastAsia="仿宋_GB2312" w:cs="宋体"/>
          <w:sz w:val="32"/>
          <w:szCs w:val="32"/>
        </w:rPr>
        <w:t>317.93</w:t>
      </w:r>
      <w:bookmarkEnd w:id="39"/>
      <w:r>
        <w:rPr>
          <w:rFonts w:hint="eastAsia" w:ascii="仿宋_GB2312" w:hAnsi="宋体" w:eastAsia="仿宋_GB2312" w:cs="宋体"/>
          <w:sz w:val="32"/>
          <w:szCs w:val="32"/>
        </w:rPr>
        <w:t>万元。其中：一般公共预算财政拨款收入</w:t>
      </w:r>
      <w:bookmarkStart w:id="40" w:name="PO_part3A2B1C1Amount1"/>
      <w:r>
        <w:rPr>
          <w:rFonts w:hint="eastAsia" w:ascii="仿宋_GB2312" w:hAnsi="宋体" w:eastAsia="仿宋_GB2312" w:cs="宋体"/>
          <w:sz w:val="32"/>
          <w:szCs w:val="32"/>
        </w:rPr>
        <w:t>317.93</w:t>
      </w:r>
      <w:bookmarkEnd w:id="40"/>
      <w:r>
        <w:rPr>
          <w:rFonts w:hint="eastAsia" w:ascii="仿宋_GB2312" w:hAnsi="宋体" w:eastAsia="仿宋_GB2312" w:cs="宋体"/>
          <w:sz w:val="32"/>
          <w:szCs w:val="32"/>
        </w:rPr>
        <w:t>万元，比上年决算数</w:t>
      </w:r>
      <w:bookmarkStart w:id="41" w:name="PO_part3A2B1C1IncAmount1"/>
      <w:r>
        <w:rPr>
          <w:rFonts w:hint="eastAsia" w:ascii="仿宋_GB2312" w:hAnsi="宋体" w:eastAsia="仿宋_GB2312" w:cs="宋体"/>
          <w:sz w:val="32"/>
          <w:szCs w:val="32"/>
        </w:rPr>
        <w:t>增加</w:t>
      </w:r>
      <w:bookmarkEnd w:id="41"/>
      <w:r>
        <w:rPr>
          <w:rFonts w:hint="eastAsia" w:ascii="仿宋_GB2312" w:hAnsi="宋体" w:eastAsia="仿宋_GB2312" w:cs="宋体"/>
          <w:sz w:val="32"/>
          <w:szCs w:val="32"/>
        </w:rPr>
        <w:t>95.49万元，</w:t>
      </w:r>
      <w:bookmarkStart w:id="42" w:name="PO_part3A2B1C1IncPercent1"/>
      <w:r>
        <w:rPr>
          <w:rFonts w:hint="eastAsia" w:ascii="仿宋_GB2312" w:hAnsi="宋体" w:eastAsia="仿宋_GB2312" w:cs="宋体"/>
          <w:sz w:val="32"/>
          <w:szCs w:val="32"/>
        </w:rPr>
        <w:t>增长42.93%；主要变动情况：主要是增加人员经费和公用经费拨款</w:t>
      </w:r>
      <w:bookmarkEnd w:id="42"/>
      <w:r>
        <w:rPr>
          <w:rFonts w:hint="eastAsia" w:ascii="仿宋_GB2312" w:hAnsi="宋体" w:eastAsia="仿宋_GB2312" w:cs="宋体"/>
          <w:sz w:val="32"/>
          <w:szCs w:val="32"/>
        </w:rPr>
        <w:t>；政府性基金预算财政拨款收入</w:t>
      </w:r>
      <w:bookmarkStart w:id="43" w:name="PO_part3A2B1C2Amount1"/>
      <w:r>
        <w:rPr>
          <w:rFonts w:hint="eastAsia" w:ascii="仿宋_GB2312" w:hAnsi="宋体" w:eastAsia="仿宋_GB2312" w:cs="宋体"/>
          <w:sz w:val="32"/>
          <w:szCs w:val="32"/>
        </w:rPr>
        <w:t>0</w:t>
      </w:r>
      <w:bookmarkEnd w:id="43"/>
      <w:r>
        <w:rPr>
          <w:rFonts w:hint="eastAsia" w:ascii="仿宋_GB2312" w:hAnsi="宋体" w:eastAsia="仿宋_GB2312" w:cs="宋体"/>
          <w:sz w:val="32"/>
          <w:szCs w:val="32"/>
        </w:rPr>
        <w:t>万元，</w:t>
      </w:r>
      <w:bookmarkStart w:id="44" w:name="PO_part3A2B1C2IncPercent1"/>
      <w:r>
        <w:rPr>
          <w:rFonts w:hint="eastAsia" w:ascii="仿宋_GB2312" w:hAnsi="宋体" w:eastAsia="仿宋_GB2312" w:cs="宋体"/>
          <w:sz w:val="32"/>
          <w:szCs w:val="32"/>
        </w:rPr>
        <w:t xml:space="preserve">与上年决算数持平。 </w:t>
      </w:r>
      <w:bookmarkEnd w:id="44"/>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45" w:name="PO_part3A2B2Year1"/>
      <w:r>
        <w:rPr>
          <w:rFonts w:hint="eastAsia" w:ascii="仿宋_GB2312" w:hAnsi="宋体" w:eastAsia="仿宋_GB2312" w:cs="宋体"/>
          <w:b/>
          <w:sz w:val="32"/>
          <w:szCs w:val="32"/>
        </w:rPr>
        <w:t>2019</w:t>
      </w:r>
      <w:bookmarkEnd w:id="45"/>
      <w:r>
        <w:rPr>
          <w:rFonts w:hint="eastAsia" w:ascii="仿宋_GB2312" w:hAnsi="宋体" w:eastAsia="仿宋_GB2312" w:cs="宋体"/>
          <w:b/>
          <w:sz w:val="32"/>
          <w:szCs w:val="32"/>
        </w:rPr>
        <w:t>年度财政拨款支出说明</w:t>
      </w:r>
    </w:p>
    <w:p>
      <w:pPr>
        <w:spacing w:line="288" w:lineRule="auto"/>
        <w:ind w:firstLine="800" w:firstLineChars="250"/>
        <w:jc w:val="left"/>
        <w:rPr>
          <w:rFonts w:ascii="仿宋_GB2312" w:hAnsi="宋体" w:eastAsia="仿宋_GB2312" w:cs="宋体"/>
          <w:sz w:val="32"/>
          <w:szCs w:val="32"/>
        </w:rPr>
      </w:pPr>
      <w:bookmarkStart w:id="46" w:name="PO_part3A2B2C1DivNameYear1"/>
      <w:r>
        <w:rPr>
          <w:rFonts w:hint="eastAsia" w:ascii="仿宋_GB2312" w:hAnsi="宋体" w:eastAsia="仿宋_GB2312" w:cs="宋体"/>
          <w:sz w:val="32"/>
          <w:szCs w:val="32"/>
        </w:rPr>
        <w:t>广东省卫生医疗对外合作服务中心2019</w:t>
      </w:r>
      <w:bookmarkEnd w:id="46"/>
      <w:r>
        <w:rPr>
          <w:rFonts w:hint="eastAsia" w:ascii="仿宋_GB2312" w:hAnsi="宋体" w:eastAsia="仿宋_GB2312" w:cs="宋体"/>
          <w:sz w:val="32"/>
          <w:szCs w:val="32"/>
        </w:rPr>
        <w:t>年度财政拨款支出合计</w:t>
      </w:r>
      <w:bookmarkStart w:id="47" w:name="PO_part3A2B2C1TotalAmount1"/>
      <w:r>
        <w:rPr>
          <w:rFonts w:hint="eastAsia" w:ascii="仿宋_GB2312" w:hAnsi="宋体" w:eastAsia="仿宋_GB2312" w:cs="宋体"/>
          <w:sz w:val="32"/>
          <w:szCs w:val="32"/>
        </w:rPr>
        <w:t>320.10</w:t>
      </w:r>
      <w:bookmarkEnd w:id="47"/>
      <w:r>
        <w:rPr>
          <w:rFonts w:hint="eastAsia" w:ascii="仿宋_GB2312" w:hAnsi="宋体" w:eastAsia="仿宋_GB2312" w:cs="宋体"/>
          <w:sz w:val="32"/>
          <w:szCs w:val="32"/>
        </w:rPr>
        <w:t>万元。其中：一般公共预算财政拨款支出</w:t>
      </w:r>
      <w:bookmarkStart w:id="48" w:name="PO_part3A2B2C1Amount1"/>
      <w:r>
        <w:rPr>
          <w:rFonts w:hint="eastAsia" w:ascii="仿宋_GB2312" w:hAnsi="宋体" w:eastAsia="仿宋_GB2312" w:cs="宋体"/>
          <w:sz w:val="32"/>
          <w:szCs w:val="32"/>
        </w:rPr>
        <w:t>320.10</w:t>
      </w:r>
      <w:bookmarkEnd w:id="48"/>
      <w:r>
        <w:rPr>
          <w:rFonts w:hint="eastAsia" w:ascii="仿宋_GB2312" w:hAnsi="宋体" w:eastAsia="仿宋_GB2312" w:cs="宋体"/>
          <w:sz w:val="32"/>
          <w:szCs w:val="32"/>
        </w:rPr>
        <w:t>万元，比年初预算数</w:t>
      </w:r>
      <w:bookmarkStart w:id="49" w:name="PO_part3A2B2C1IncAmount1"/>
      <w:r>
        <w:rPr>
          <w:rFonts w:hint="eastAsia" w:ascii="仿宋_GB2312" w:hAnsi="宋体" w:eastAsia="仿宋_GB2312" w:cs="宋体"/>
          <w:sz w:val="32"/>
          <w:szCs w:val="32"/>
        </w:rPr>
        <w:t>增加2.17</w:t>
      </w:r>
      <w:bookmarkEnd w:id="49"/>
      <w:r>
        <w:rPr>
          <w:rFonts w:hint="eastAsia" w:ascii="仿宋_GB2312" w:hAnsi="宋体" w:eastAsia="仿宋_GB2312" w:cs="宋体"/>
          <w:sz w:val="32"/>
          <w:szCs w:val="32"/>
        </w:rPr>
        <w:t>万元，</w:t>
      </w:r>
      <w:bookmarkStart w:id="50" w:name="PO_part3A2B2C1IncPercent1"/>
      <w:r>
        <w:rPr>
          <w:rFonts w:hint="eastAsia" w:ascii="仿宋_GB2312" w:hAnsi="宋体" w:eastAsia="仿宋_GB2312" w:cs="宋体"/>
          <w:sz w:val="32"/>
          <w:szCs w:val="32"/>
        </w:rPr>
        <w:t>增长0.68%；主要变动情况：</w:t>
      </w:r>
      <w:bookmarkEnd w:id="50"/>
      <w:r>
        <w:rPr>
          <w:rFonts w:hint="eastAsia" w:ascii="仿宋_GB2312" w:hAnsi="宋体" w:eastAsia="仿宋_GB2312" w:cs="宋体"/>
          <w:sz w:val="32"/>
          <w:szCs w:val="32"/>
        </w:rPr>
        <w:t>上年年初结转和结余2.17万元；政府性基金预算财政拨款支出</w:t>
      </w:r>
      <w:bookmarkStart w:id="51" w:name="PO_part3A2B2C2Amount1"/>
      <w:r>
        <w:rPr>
          <w:rFonts w:hint="eastAsia" w:ascii="仿宋_GB2312" w:hAnsi="宋体" w:eastAsia="仿宋_GB2312" w:cs="宋体"/>
          <w:sz w:val="32"/>
          <w:szCs w:val="32"/>
        </w:rPr>
        <w:t>0</w:t>
      </w:r>
      <w:bookmarkEnd w:id="51"/>
      <w:r>
        <w:rPr>
          <w:rFonts w:hint="eastAsia" w:ascii="仿宋_GB2312" w:hAnsi="宋体" w:eastAsia="仿宋_GB2312" w:cs="宋体"/>
          <w:sz w:val="32"/>
          <w:szCs w:val="32"/>
        </w:rPr>
        <w:t>万元，与上年决算数持平。</w:t>
      </w:r>
    </w:p>
    <w:p>
      <w:pPr>
        <w:spacing w:line="640" w:lineRule="exact"/>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52" w:name="PO_part3A3Year1"/>
      <w:r>
        <w:rPr>
          <w:rFonts w:hint="eastAsia" w:ascii="仿宋_GB2312" w:hAnsi="宋体" w:eastAsia="仿宋_GB2312" w:cs="宋体"/>
          <w:b/>
          <w:sz w:val="32"/>
          <w:szCs w:val="32"/>
        </w:rPr>
        <w:t xml:space="preserve"> 2019</w:t>
      </w:r>
      <w:bookmarkEnd w:id="52"/>
      <w:r>
        <w:rPr>
          <w:rFonts w:hint="eastAsia" w:ascii="仿宋_GB2312" w:hAnsi="宋体" w:eastAsia="仿宋_GB2312" w:cs="宋体"/>
          <w:b/>
          <w:sz w:val="32"/>
          <w:szCs w:val="32"/>
        </w:rPr>
        <w:t>年度一般公共预算财政拨款“三公”经费支出决算情况说明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广东省卫生医疗对外合作服务中心2019年度“三公”经费财政拨款支出决算为</w:t>
      </w:r>
      <w:bookmarkStart w:id="53" w:name="PO_part3A3B1C1Amount1"/>
      <w:r>
        <w:rPr>
          <w:rFonts w:hint="eastAsia" w:ascii="仿宋_GB2312" w:hAnsi="宋体" w:eastAsia="仿宋_GB2312" w:cs="宋体"/>
          <w:sz w:val="32"/>
          <w:szCs w:val="32"/>
        </w:rPr>
        <w:t>2.4</w:t>
      </w:r>
      <w:bookmarkEnd w:id="53"/>
      <w:r>
        <w:rPr>
          <w:rFonts w:hint="eastAsia" w:ascii="仿宋_GB2312" w:hAnsi="宋体" w:eastAsia="仿宋_GB2312" w:cs="宋体"/>
          <w:sz w:val="32"/>
          <w:szCs w:val="32"/>
        </w:rPr>
        <w:t>万元，完成预算4.66万元的</w:t>
      </w:r>
      <w:bookmarkStart w:id="54" w:name="PO_part3A3B1C1Percent1"/>
      <w:r>
        <w:rPr>
          <w:rFonts w:hint="eastAsia" w:ascii="仿宋_GB2312" w:hAnsi="宋体" w:eastAsia="仿宋_GB2312" w:cs="宋体"/>
          <w:sz w:val="32"/>
          <w:szCs w:val="32"/>
        </w:rPr>
        <w:t>51.5%</w:t>
      </w:r>
      <w:bookmarkEnd w:id="54"/>
      <w:r>
        <w:rPr>
          <w:rFonts w:hint="eastAsia" w:ascii="仿宋_GB2312" w:hAnsi="宋体" w:eastAsia="仿宋_GB2312" w:cs="宋体"/>
          <w:sz w:val="32"/>
          <w:szCs w:val="32"/>
        </w:rPr>
        <w:t>。其中：因公出国（境）费支出决算为0万元，完成预算</w:t>
      </w:r>
      <w:bookmarkStart w:id="55" w:name="PO_part3A3B1C1qzysAmount1"/>
      <w:r>
        <w:rPr>
          <w:rFonts w:hint="eastAsia" w:ascii="仿宋_GB2312" w:hAnsi="宋体" w:eastAsia="仿宋_GB2312" w:cs="宋体"/>
          <w:sz w:val="32"/>
          <w:szCs w:val="32"/>
        </w:rPr>
        <w:t>0</w:t>
      </w:r>
      <w:bookmarkEnd w:id="55"/>
      <w:r>
        <w:rPr>
          <w:rFonts w:hint="eastAsia" w:ascii="仿宋_GB2312" w:hAnsi="宋体" w:eastAsia="仿宋_GB2312" w:cs="宋体"/>
          <w:sz w:val="32"/>
          <w:szCs w:val="32"/>
        </w:rPr>
        <w:t>万元的</w:t>
      </w:r>
      <w:bookmarkStart w:id="56" w:name="PO_part3A3B1C1qzPercent1"/>
      <w:r>
        <w:rPr>
          <w:rFonts w:hint="eastAsia" w:ascii="仿宋_GB2312" w:hAnsi="宋体" w:eastAsia="仿宋_GB2312" w:cs="宋体"/>
          <w:sz w:val="32"/>
          <w:szCs w:val="32"/>
        </w:rPr>
        <w:t>0%</w:t>
      </w:r>
      <w:bookmarkEnd w:id="56"/>
      <w:r>
        <w:rPr>
          <w:rFonts w:hint="eastAsia" w:ascii="仿宋_GB2312" w:hAnsi="宋体" w:eastAsia="仿宋_GB2312" w:cs="宋体"/>
          <w:sz w:val="32"/>
          <w:szCs w:val="32"/>
        </w:rPr>
        <w:t>；公务用车购置及运行费支出决算为</w:t>
      </w:r>
      <w:bookmarkStart w:id="57" w:name="PO_part3A3B1C1qzAmount2"/>
      <w:r>
        <w:rPr>
          <w:rFonts w:hint="eastAsia" w:ascii="仿宋_GB2312" w:hAnsi="宋体" w:eastAsia="仿宋_GB2312" w:cs="宋体"/>
          <w:sz w:val="32"/>
          <w:szCs w:val="32"/>
        </w:rPr>
        <w:t>1.9</w:t>
      </w:r>
      <w:bookmarkEnd w:id="57"/>
      <w:r>
        <w:rPr>
          <w:rFonts w:hint="eastAsia" w:ascii="仿宋_GB2312" w:hAnsi="宋体" w:eastAsia="仿宋_GB2312" w:cs="宋体"/>
          <w:sz w:val="32"/>
          <w:szCs w:val="32"/>
        </w:rPr>
        <w:t>万元，完成预算</w:t>
      </w:r>
      <w:bookmarkStart w:id="58" w:name="PO_part3A3B1C1qzysAmount2"/>
      <w:r>
        <w:rPr>
          <w:rFonts w:hint="eastAsia" w:ascii="仿宋_GB2312" w:hAnsi="宋体" w:eastAsia="仿宋_GB2312" w:cs="宋体"/>
          <w:sz w:val="32"/>
          <w:szCs w:val="32"/>
        </w:rPr>
        <w:t>4</w:t>
      </w:r>
      <w:bookmarkEnd w:id="58"/>
      <w:r>
        <w:rPr>
          <w:rFonts w:hint="eastAsia" w:ascii="仿宋_GB2312" w:hAnsi="宋体" w:eastAsia="仿宋_GB2312" w:cs="宋体"/>
          <w:sz w:val="32"/>
          <w:szCs w:val="32"/>
        </w:rPr>
        <w:t>万元的</w:t>
      </w:r>
      <w:bookmarkStart w:id="59" w:name="PO_part3A3B1C1qzPercent2"/>
      <w:r>
        <w:rPr>
          <w:rFonts w:hint="eastAsia" w:ascii="仿宋_GB2312" w:hAnsi="宋体" w:eastAsia="仿宋_GB2312" w:cs="宋体"/>
          <w:sz w:val="32"/>
          <w:szCs w:val="32"/>
        </w:rPr>
        <w:t>47.5%</w:t>
      </w:r>
      <w:bookmarkEnd w:id="59"/>
      <w:r>
        <w:rPr>
          <w:rFonts w:hint="eastAsia" w:ascii="仿宋_GB2312" w:hAnsi="宋体" w:eastAsia="仿宋_GB2312" w:cs="宋体"/>
          <w:sz w:val="32"/>
          <w:szCs w:val="32"/>
        </w:rPr>
        <w:t>；公务接待费支出决算为</w:t>
      </w:r>
      <w:bookmarkStart w:id="60" w:name="PO_part3A3B1C1qzAmount3"/>
      <w:r>
        <w:rPr>
          <w:rFonts w:hint="eastAsia" w:ascii="仿宋_GB2312" w:hAnsi="宋体" w:eastAsia="仿宋_GB2312" w:cs="宋体"/>
          <w:sz w:val="32"/>
          <w:szCs w:val="32"/>
        </w:rPr>
        <w:t>0.5</w:t>
      </w:r>
      <w:bookmarkEnd w:id="60"/>
      <w:r>
        <w:rPr>
          <w:rFonts w:hint="eastAsia" w:ascii="仿宋_GB2312" w:hAnsi="宋体" w:eastAsia="仿宋_GB2312" w:cs="宋体"/>
          <w:sz w:val="32"/>
          <w:szCs w:val="32"/>
        </w:rPr>
        <w:t>万元，完成预算</w:t>
      </w:r>
      <w:bookmarkStart w:id="61" w:name="PO_part3A3B1C1qzysAmount3"/>
      <w:r>
        <w:rPr>
          <w:rFonts w:hint="eastAsia" w:ascii="仿宋_GB2312" w:hAnsi="宋体" w:eastAsia="仿宋_GB2312" w:cs="宋体"/>
          <w:sz w:val="32"/>
          <w:szCs w:val="32"/>
        </w:rPr>
        <w:t>0.66</w:t>
      </w:r>
      <w:bookmarkEnd w:id="61"/>
      <w:r>
        <w:rPr>
          <w:rFonts w:hint="eastAsia" w:ascii="仿宋_GB2312" w:hAnsi="宋体" w:eastAsia="仿宋_GB2312" w:cs="宋体"/>
          <w:sz w:val="32"/>
          <w:szCs w:val="32"/>
        </w:rPr>
        <w:t>万元的</w:t>
      </w:r>
      <w:bookmarkStart w:id="62" w:name="PO_part3A3B1C1qzPercent3"/>
      <w:r>
        <w:rPr>
          <w:rFonts w:hint="eastAsia" w:ascii="仿宋_GB2312" w:hAnsi="宋体" w:eastAsia="仿宋_GB2312" w:cs="宋体"/>
          <w:sz w:val="32"/>
          <w:szCs w:val="32"/>
        </w:rPr>
        <w:t>75.8%</w:t>
      </w:r>
      <w:bookmarkEnd w:id="62"/>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63" w:name="PO_part3A3B1C1Year1"/>
      <w:bookmarkEnd w:id="63"/>
      <w:r>
        <w:rPr>
          <w:rFonts w:hint="eastAsia" w:ascii="仿宋_GB2312" w:hAnsi="宋体" w:eastAsia="仿宋_GB2312" w:cs="宋体"/>
          <w:sz w:val="32"/>
          <w:szCs w:val="32"/>
        </w:rPr>
        <w:t>2019年度“三公”经费支出决算</w:t>
      </w:r>
      <w:bookmarkStart w:id="64" w:name="PO_part3A3B1C1Diff1"/>
      <w:r>
        <w:rPr>
          <w:rFonts w:hint="eastAsia" w:ascii="仿宋_GB2312" w:hAnsi="宋体" w:eastAsia="仿宋_GB2312" w:cs="宋体"/>
          <w:sz w:val="32"/>
          <w:szCs w:val="32"/>
        </w:rPr>
        <w:t>小于</w:t>
      </w:r>
      <w:bookmarkEnd w:id="64"/>
      <w:r>
        <w:rPr>
          <w:rFonts w:hint="eastAsia" w:ascii="仿宋_GB2312" w:hAnsi="宋体" w:eastAsia="仿宋_GB2312" w:cs="宋体"/>
          <w:sz w:val="32"/>
          <w:szCs w:val="32"/>
        </w:rPr>
        <w:t>预算数的主要情况：</w:t>
      </w:r>
      <w:bookmarkStart w:id="65" w:name="PO_part3A3B1C1DiffReason1"/>
      <w:r>
        <w:rPr>
          <w:rFonts w:hint="eastAsia" w:ascii="仿宋_GB2312" w:hAnsi="宋体" w:eastAsia="仿宋_GB2312" w:cs="宋体"/>
          <w:sz w:val="32"/>
          <w:szCs w:val="32"/>
        </w:rPr>
        <w:t>认真</w:t>
      </w:r>
      <w:bookmarkStart w:id="86" w:name="_GoBack"/>
      <w:bookmarkEnd w:id="86"/>
      <w:r>
        <w:rPr>
          <w:rFonts w:hint="eastAsia" w:ascii="仿宋_GB2312" w:hAnsi="宋体" w:eastAsia="仿宋_GB2312" w:cs="宋体"/>
          <w:sz w:val="32"/>
          <w:szCs w:val="32"/>
          <w:lang w:eastAsia="zh-CN"/>
        </w:rPr>
        <w:t>贯彻落实中央八项规定</w:t>
      </w:r>
      <w:r>
        <w:rPr>
          <w:rFonts w:hint="eastAsia" w:ascii="仿宋_GB2312" w:hAnsi="宋体" w:eastAsia="仿宋_GB2312" w:cs="宋体"/>
          <w:sz w:val="32"/>
          <w:szCs w:val="32"/>
        </w:rPr>
        <w:t>精神和厉行节约的要求，从严控制“三公”经费开支，全年实际支出比预算有所节约</w:t>
      </w:r>
      <w:bookmarkEnd w:id="65"/>
      <w:r>
        <w:rPr>
          <w:rFonts w:hint="eastAsia" w:ascii="仿宋_GB2312" w:hAnsi="宋体" w:eastAsia="仿宋_GB2312" w:cs="宋体"/>
          <w:sz w:val="32"/>
          <w:szCs w:val="32"/>
        </w:rPr>
        <w:t>。</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66" w:name="PO_part3A3B2Year1"/>
      <w:bookmarkEnd w:id="66"/>
      <w:r>
        <w:rPr>
          <w:rFonts w:hint="eastAsia" w:ascii="仿宋_GB2312" w:hAnsi="宋体" w:eastAsia="仿宋_GB2312" w:cs="宋体"/>
          <w:sz w:val="32"/>
          <w:szCs w:val="32"/>
        </w:rPr>
        <w:t>2019年“三公”经费财政拨款支出决算中，因公出国（境）费0万元，占</w:t>
      </w:r>
      <w:bookmarkStart w:id="67" w:name="PO_part3A3B2Percent1"/>
      <w:r>
        <w:rPr>
          <w:rFonts w:hint="eastAsia" w:ascii="仿宋_GB2312" w:hAnsi="宋体" w:eastAsia="仿宋_GB2312" w:cs="宋体"/>
          <w:sz w:val="32"/>
          <w:szCs w:val="32"/>
        </w:rPr>
        <w:t>0%</w:t>
      </w:r>
      <w:bookmarkEnd w:id="67"/>
      <w:r>
        <w:rPr>
          <w:rFonts w:hint="eastAsia" w:ascii="仿宋_GB2312" w:hAnsi="宋体" w:eastAsia="仿宋_GB2312" w:cs="宋体"/>
          <w:sz w:val="32"/>
          <w:szCs w:val="32"/>
        </w:rPr>
        <w:t>；公务用车购置及运行费支出</w:t>
      </w:r>
      <w:bookmarkStart w:id="68" w:name="PO_part3A3B2Amount2"/>
      <w:r>
        <w:rPr>
          <w:rFonts w:hint="eastAsia" w:ascii="仿宋_GB2312" w:hAnsi="宋体" w:eastAsia="仿宋_GB2312" w:cs="宋体"/>
          <w:sz w:val="32"/>
          <w:szCs w:val="32"/>
        </w:rPr>
        <w:t>1.9万元，占79.2%</w:t>
      </w:r>
      <w:bookmarkEnd w:id="68"/>
      <w:r>
        <w:rPr>
          <w:rFonts w:hint="eastAsia" w:ascii="仿宋_GB2312" w:hAnsi="宋体" w:eastAsia="仿宋_GB2312" w:cs="宋体"/>
          <w:sz w:val="32"/>
          <w:szCs w:val="32"/>
        </w:rPr>
        <w:t>；公务接待费支出</w:t>
      </w:r>
      <w:bookmarkStart w:id="69" w:name="PO_part3A3B2Amount3"/>
      <w:r>
        <w:rPr>
          <w:rFonts w:hint="eastAsia" w:ascii="仿宋_GB2312" w:hAnsi="宋体" w:eastAsia="仿宋_GB2312" w:cs="宋体"/>
          <w:sz w:val="32"/>
          <w:szCs w:val="32"/>
        </w:rPr>
        <w:t>0.5万元，占20.8%</w:t>
      </w:r>
      <w:bookmarkEnd w:id="69"/>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70" w:name="PO_part3A3B2C1Amount1"/>
      <w:r>
        <w:rPr>
          <w:rFonts w:hint="eastAsia" w:ascii="仿宋_GB2312" w:hAnsi="宋体" w:eastAsia="仿宋_GB2312" w:cs="宋体"/>
          <w:sz w:val="32"/>
          <w:szCs w:val="32"/>
        </w:rPr>
        <w:t>0</w:t>
      </w:r>
      <w:bookmarkEnd w:id="70"/>
      <w:r>
        <w:rPr>
          <w:rFonts w:hint="eastAsia" w:ascii="仿宋_GB2312" w:hAnsi="宋体" w:eastAsia="仿宋_GB2312" w:cs="宋体"/>
          <w:sz w:val="32"/>
          <w:szCs w:val="32"/>
        </w:rPr>
        <w:t>万元。</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71" w:name="PO_part3A3B2C2Amount1"/>
      <w:r>
        <w:rPr>
          <w:rFonts w:hint="eastAsia" w:ascii="仿宋_GB2312" w:hAnsi="宋体" w:eastAsia="仿宋_GB2312" w:cs="宋体"/>
          <w:sz w:val="32"/>
          <w:szCs w:val="32"/>
        </w:rPr>
        <w:t>1.9</w:t>
      </w:r>
      <w:bookmarkEnd w:id="71"/>
      <w:r>
        <w:rPr>
          <w:rFonts w:hint="eastAsia" w:ascii="仿宋_GB2312" w:hAnsi="宋体" w:eastAsia="仿宋_GB2312" w:cs="宋体"/>
          <w:sz w:val="32"/>
          <w:szCs w:val="32"/>
        </w:rPr>
        <w:t>万元，用于公务用车运行及维护支出1.9万元。</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3.公务接待费支出0.5万元，主要用于</w:t>
      </w:r>
      <w:bookmarkStart w:id="72" w:name="PO_part3A3B2C3Detail1"/>
      <w:r>
        <w:rPr>
          <w:rFonts w:hint="eastAsia" w:ascii="仿宋_GB2312" w:hAnsi="宋体" w:eastAsia="仿宋_GB2312" w:cs="宋体"/>
          <w:sz w:val="32"/>
          <w:szCs w:val="32"/>
        </w:rPr>
        <w:t>国内公务接待，发生国内接待</w:t>
      </w:r>
      <w:bookmarkStart w:id="73" w:name="PO_part3A3B2C3GnjdCount1"/>
      <w:r>
        <w:rPr>
          <w:rFonts w:hint="eastAsia" w:ascii="仿宋_GB2312" w:hAnsi="宋体" w:eastAsia="仿宋_GB2312" w:cs="宋体"/>
          <w:sz w:val="32"/>
          <w:szCs w:val="32"/>
        </w:rPr>
        <w:t>3</w:t>
      </w:r>
      <w:bookmarkEnd w:id="73"/>
      <w:r>
        <w:rPr>
          <w:rFonts w:hint="eastAsia" w:ascii="仿宋_GB2312" w:hAnsi="宋体" w:eastAsia="仿宋_GB2312" w:cs="宋体"/>
          <w:sz w:val="32"/>
          <w:szCs w:val="32"/>
        </w:rPr>
        <w:t>次，接待人数共</w:t>
      </w:r>
      <w:bookmarkStart w:id="74" w:name="PO_part3A3B2C3GnjdManCount1"/>
      <w:r>
        <w:rPr>
          <w:rFonts w:hint="eastAsia" w:ascii="仿宋_GB2312" w:hAnsi="宋体" w:eastAsia="仿宋_GB2312" w:cs="宋体"/>
          <w:sz w:val="32"/>
          <w:szCs w:val="32"/>
        </w:rPr>
        <w:t>1</w:t>
      </w:r>
      <w:bookmarkEnd w:id="74"/>
      <w:r>
        <w:rPr>
          <w:rFonts w:hint="eastAsia" w:ascii="仿宋_GB2312" w:hAnsi="宋体" w:eastAsia="仿宋_GB2312" w:cs="宋体"/>
          <w:sz w:val="32"/>
          <w:szCs w:val="32"/>
        </w:rPr>
        <w:t>1人，主要包括接待赤道几内亚卫生部来宾、加纳卫生部代表团来宾和天津卫健委来粤交流人员。</w:t>
      </w:r>
      <w:bookmarkEnd w:id="72"/>
      <w:bookmarkStart w:id="75" w:name="PO_part3A3B2C3GnjdInclude1"/>
      <w:bookmarkEnd w:id="7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ind w:firstLine="640" w:firstLineChars="200"/>
        <w:jc w:val="left"/>
        <w:rPr>
          <w:rFonts w:ascii="仿宋_GB2312" w:hAnsi="宋体" w:eastAsia="仿宋_GB2312" w:cs="宋体"/>
          <w:sz w:val="32"/>
          <w:szCs w:val="32"/>
        </w:rPr>
      </w:pPr>
      <w:bookmarkStart w:id="76" w:name="PO_part3A4B1Year1"/>
      <w:r>
        <w:rPr>
          <w:rFonts w:hint="eastAsia" w:ascii="仿宋_GB2312" w:hAnsi="宋体" w:eastAsia="仿宋_GB2312" w:cs="宋体"/>
          <w:sz w:val="32"/>
          <w:szCs w:val="32"/>
        </w:rPr>
        <w:t xml:space="preserve"> 2019</w:t>
      </w:r>
      <w:bookmarkEnd w:id="76"/>
      <w:r>
        <w:rPr>
          <w:rFonts w:hint="eastAsia" w:ascii="仿宋_GB2312" w:hAnsi="宋体" w:eastAsia="仿宋_GB2312" w:cs="宋体"/>
          <w:sz w:val="32"/>
          <w:szCs w:val="32"/>
        </w:rPr>
        <w:t>年本中心运行经费支出</w:t>
      </w:r>
      <w:bookmarkStart w:id="77" w:name="PO_part3A4B1Amount1"/>
      <w:r>
        <w:rPr>
          <w:rFonts w:hint="eastAsia" w:ascii="仿宋_GB2312" w:hAnsi="宋体" w:eastAsia="仿宋_GB2312" w:cs="宋体"/>
          <w:sz w:val="32"/>
          <w:szCs w:val="32"/>
        </w:rPr>
        <w:t>76.01</w:t>
      </w:r>
      <w:bookmarkEnd w:id="77"/>
      <w:r>
        <w:rPr>
          <w:rFonts w:hint="eastAsia" w:ascii="仿宋_GB2312" w:hAnsi="宋体" w:eastAsia="仿宋_GB2312" w:cs="宋体"/>
          <w:sz w:val="32"/>
          <w:szCs w:val="32"/>
        </w:rPr>
        <w:t>万元，比预算数</w:t>
      </w:r>
      <w:bookmarkStart w:id="78" w:name="PO_part3A4B1IncAmount1"/>
      <w:r>
        <w:rPr>
          <w:rFonts w:hint="eastAsia" w:ascii="仿宋_GB2312" w:hAnsi="宋体" w:eastAsia="仿宋_GB2312" w:cs="宋体"/>
          <w:sz w:val="32"/>
          <w:szCs w:val="32"/>
        </w:rPr>
        <w:t>增加4.76</w:t>
      </w:r>
      <w:bookmarkEnd w:id="78"/>
      <w:r>
        <w:rPr>
          <w:rFonts w:hint="eastAsia" w:ascii="仿宋_GB2312" w:hAnsi="宋体" w:eastAsia="仿宋_GB2312" w:cs="宋体"/>
          <w:sz w:val="32"/>
          <w:szCs w:val="32"/>
        </w:rPr>
        <w:t>万元，</w:t>
      </w:r>
      <w:bookmarkStart w:id="79" w:name="PO_part3A4B1IncPercent1"/>
      <w:r>
        <w:rPr>
          <w:rFonts w:hint="eastAsia" w:ascii="仿宋_GB2312" w:hAnsi="宋体" w:eastAsia="仿宋_GB2312" w:cs="宋体"/>
          <w:sz w:val="32"/>
          <w:szCs w:val="32"/>
        </w:rPr>
        <w:t>增长6.7%。</w:t>
      </w:r>
      <w:bookmarkEnd w:id="79"/>
      <w:r>
        <w:rPr>
          <w:rFonts w:hint="eastAsia" w:ascii="仿宋_GB2312" w:hAnsi="宋体" w:eastAsia="仿宋_GB2312" w:cs="宋体"/>
          <w:sz w:val="32"/>
          <w:szCs w:val="32"/>
        </w:rPr>
        <w:t>主要增减变动情况是：主要是差旅费与其他商品和服务支出略有增加。</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2019年本部门政府采购支出总额</w:t>
      </w:r>
      <w:bookmarkStart w:id="80" w:name="PO_part3A4B2Amount1"/>
      <w:r>
        <w:rPr>
          <w:rFonts w:hint="eastAsia" w:ascii="仿宋_GB2312" w:hAnsi="宋体" w:eastAsia="仿宋_GB2312" w:cs="宋体"/>
          <w:sz w:val="32"/>
          <w:szCs w:val="32"/>
        </w:rPr>
        <w:t>1.45</w:t>
      </w:r>
      <w:bookmarkEnd w:id="80"/>
      <w:r>
        <w:rPr>
          <w:rFonts w:hint="eastAsia" w:ascii="仿宋_GB2312" w:hAnsi="宋体" w:eastAsia="仿宋_GB2312" w:cs="宋体"/>
          <w:sz w:val="32"/>
          <w:szCs w:val="32"/>
        </w:rPr>
        <w:t>万元，其中：政府采购货物支出1.45万元。</w:t>
      </w:r>
      <w:bookmarkStart w:id="81" w:name="PO_part3A4B2Content5"/>
      <w:bookmarkEnd w:id="81"/>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pPr>
        <w:spacing w:line="288" w:lineRule="auto"/>
        <w:ind w:left="1" w:firstLine="640" w:firstLineChars="200"/>
        <w:rPr>
          <w:rFonts w:ascii="仿宋_GB2312" w:eastAsia="仿宋_GB2312"/>
          <w:sz w:val="32"/>
          <w:szCs w:val="32"/>
        </w:rPr>
      </w:pPr>
      <w:r>
        <w:rPr>
          <w:rFonts w:hint="eastAsia" w:ascii="仿宋_GB2312" w:hAnsi="宋体" w:eastAsia="仿宋_GB2312" w:cs="宋体"/>
          <w:sz w:val="32"/>
          <w:szCs w:val="32"/>
        </w:rPr>
        <w:t>截至</w:t>
      </w:r>
      <w:bookmarkStart w:id="82" w:name="PO_part3A4B3Year1"/>
      <w:r>
        <w:rPr>
          <w:rFonts w:hint="eastAsia" w:ascii="仿宋_GB2312" w:hAnsi="宋体" w:eastAsia="仿宋_GB2312" w:cs="宋体"/>
          <w:sz w:val="32"/>
          <w:szCs w:val="32"/>
        </w:rPr>
        <w:t>2019</w:t>
      </w:r>
      <w:bookmarkEnd w:id="82"/>
      <w:r>
        <w:rPr>
          <w:rFonts w:hint="eastAsia" w:ascii="仿宋_GB2312" w:hAnsi="宋体" w:eastAsia="仿宋_GB2312" w:cs="宋体"/>
          <w:sz w:val="32"/>
          <w:szCs w:val="32"/>
        </w:rPr>
        <w:t>年12月31日，本部门共有车辆</w:t>
      </w:r>
      <w:bookmarkStart w:id="83" w:name="PO_part3A4B3CarCount1"/>
      <w:r>
        <w:rPr>
          <w:rFonts w:hint="eastAsia" w:ascii="仿宋_GB2312" w:hAnsi="宋体" w:eastAsia="仿宋_GB2312" w:cs="宋体"/>
          <w:sz w:val="32"/>
          <w:szCs w:val="32"/>
        </w:rPr>
        <w:t>1</w:t>
      </w:r>
      <w:bookmarkEnd w:id="83"/>
      <w:r>
        <w:rPr>
          <w:rFonts w:hint="eastAsia" w:ascii="仿宋_GB2312" w:hAnsi="宋体" w:eastAsia="仿宋_GB2312" w:cs="宋体"/>
          <w:sz w:val="32"/>
          <w:szCs w:val="32"/>
        </w:rPr>
        <w:t>辆，</w:t>
      </w:r>
      <w:r>
        <w:rPr>
          <w:rFonts w:hint="eastAsia" w:ascii="仿宋_GB2312" w:eastAsia="仿宋_GB2312"/>
          <w:sz w:val="32"/>
          <w:szCs w:val="32"/>
        </w:rPr>
        <w:t>为一般公务用车，无价值50万元以上通用设备。</w:t>
      </w:r>
    </w:p>
    <w:p>
      <w:pPr>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pPr>
        <w:spacing w:line="288" w:lineRule="auto"/>
        <w:ind w:left="1" w:firstLine="640" w:firstLineChars="200"/>
        <w:rPr>
          <w:rFonts w:ascii="仿宋_GB2312" w:eastAsia="仿宋_GB2312"/>
          <w:sz w:val="32"/>
          <w:szCs w:val="32"/>
        </w:rPr>
      </w:pPr>
      <w:r>
        <w:rPr>
          <w:rFonts w:hint="eastAsia" w:ascii="仿宋_GB2312" w:eastAsia="仿宋_GB2312"/>
          <w:sz w:val="32"/>
          <w:szCs w:val="32"/>
        </w:rPr>
        <w:t>对2019年度一般公共预算项目支出未实行绩效自评工作。但从预算执行情况来看，项目支出绩效情况较为理想，达到项目申请时设定的各项绩效目标。</w:t>
      </w:r>
      <w:r>
        <w:rPr>
          <w:rFonts w:hint="eastAsia" w:ascii="仿宋_GB2312" w:hAnsi="宋体" w:eastAsia="仿宋_GB2312" w:cs="宋体"/>
          <w:sz w:val="32"/>
          <w:szCs w:val="32"/>
        </w:rPr>
        <w:t>全年预算数9.49万元，执行数9.49万元，完成预算的100%。</w:t>
      </w:r>
    </w:p>
    <w:p>
      <w:pPr>
        <w:ind w:firstLine="420" w:firstLineChars="200"/>
        <w:rPr>
          <w:rFonts w:ascii="仿宋_GB2312" w:eastAsia="仿宋_GB2312"/>
        </w:rPr>
        <w:sectPr>
          <w:pgSz w:w="11906" w:h="16838"/>
          <w:pgMar w:top="1440" w:right="1531" w:bottom="1440" w:left="1531" w:header="851" w:footer="992" w:gutter="0"/>
          <w:cols w:space="720" w:num="1"/>
          <w:docGrid w:type="lines" w:linePitch="312" w:charSpace="0"/>
        </w:sectPr>
      </w:pPr>
      <w:bookmarkStart w:id="84" w:name="PO_part3A4B4C3Content2"/>
      <w:bookmarkEnd w:id="84"/>
    </w:p>
    <w:p>
      <w:pPr>
        <w:numPr>
          <w:ilvl w:val="0"/>
          <w:numId w:val="3"/>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pPr>
        <w:spacing w:line="288" w:lineRule="auto"/>
        <w:ind w:firstLine="643" w:firstLineChars="200"/>
        <w:jc w:val="left"/>
        <w:rPr>
          <w:rFonts w:ascii="仿宋_GB2312" w:hAnsi="宋体" w:eastAsia="仿宋_GB2312" w:cs="宋体"/>
          <w:b/>
          <w:bCs/>
          <w:sz w:val="32"/>
          <w:szCs w:val="32"/>
        </w:rPr>
      </w:pPr>
      <w:bookmarkStart w:id="85" w:name="PO_part4Keyword4"/>
      <w:r>
        <w:rPr>
          <w:rFonts w:hint="eastAsia" w:ascii="仿宋_GB2312" w:hAnsi="宋体" w:eastAsia="仿宋_GB2312" w:cs="宋体"/>
          <w:b/>
          <w:sz w:val="32"/>
          <w:szCs w:val="32"/>
        </w:rPr>
        <w:t xml:space="preserve"> 财政拨款收入</w:t>
      </w:r>
      <w:r>
        <w:rPr>
          <w:rFonts w:hint="eastAsia" w:ascii="仿宋_GB2312" w:hAnsi="宋体" w:eastAsia="仿宋_GB2312" w:cs="宋体"/>
          <w:sz w:val="32"/>
          <w:szCs w:val="32"/>
        </w:rPr>
        <w:t>：指财政当年拨付的资金。包括一般公共预算财政拨款和政府性基金预算财政拨款。</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用事业基金弥补收支差额</w:t>
      </w:r>
      <w:r>
        <w:rPr>
          <w:rFonts w:hint="eastAsia" w:ascii="仿宋_GB2312" w:hAnsi="宋体" w:eastAsia="仿宋_GB2312" w:cs="宋体"/>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 xml:space="preserve">：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 </w:t>
      </w:r>
      <w:bookmarkEnd w:id="85"/>
    </w:p>
    <w:p>
      <w:pPr>
        <w:widowControl/>
        <w:jc w:val="left"/>
        <w:rPr>
          <w:rFonts w:ascii="黑体" w:hAnsi="黑体" w:eastAsia="黑体" w:cs="方正小标宋简体"/>
          <w:sz w:val="44"/>
          <w:szCs w:val="44"/>
        </w:rPr>
      </w:pPr>
    </w:p>
    <w:p>
      <w:pPr>
        <w:pStyle w:val="12"/>
        <w:ind w:left="3278" w:leftChars="199" w:hanging="2860" w:hangingChars="650"/>
        <w:rPr>
          <w:rFonts w:ascii="黑体" w:hAnsi="黑体" w:eastAsia="黑体" w:cs="方正小标宋简体"/>
          <w:sz w:val="44"/>
          <w:szCs w:val="44"/>
        </w:rPr>
      </w:pPr>
    </w:p>
    <w:sectPr>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A99AE"/>
    <w:multiLevelType w:val="singleLevel"/>
    <w:tmpl w:val="36AA99AE"/>
    <w:lvl w:ilvl="0" w:tentative="0">
      <w:start w:val="3"/>
      <w:numFmt w:val="chineseCounting"/>
      <w:suff w:val="space"/>
      <w:lvlText w:val="第%1部分"/>
      <w:lvlJc w:val="left"/>
      <w:rPr>
        <w:rFonts w:hint="eastAsia"/>
      </w:r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1E"/>
    <w:rsid w:val="000127E8"/>
    <w:rsid w:val="0001384B"/>
    <w:rsid w:val="0002069C"/>
    <w:rsid w:val="00021C84"/>
    <w:rsid w:val="0004027D"/>
    <w:rsid w:val="0005541C"/>
    <w:rsid w:val="00057349"/>
    <w:rsid w:val="0006388F"/>
    <w:rsid w:val="000810E0"/>
    <w:rsid w:val="000A14EB"/>
    <w:rsid w:val="000E2833"/>
    <w:rsid w:val="000E3489"/>
    <w:rsid w:val="000E50BF"/>
    <w:rsid w:val="000E74ED"/>
    <w:rsid w:val="001025D5"/>
    <w:rsid w:val="00107C57"/>
    <w:rsid w:val="00125E8F"/>
    <w:rsid w:val="001333B7"/>
    <w:rsid w:val="0013661B"/>
    <w:rsid w:val="00140639"/>
    <w:rsid w:val="0014629E"/>
    <w:rsid w:val="00153824"/>
    <w:rsid w:val="001572B6"/>
    <w:rsid w:val="00157DF3"/>
    <w:rsid w:val="00165936"/>
    <w:rsid w:val="00166C3D"/>
    <w:rsid w:val="00171F9E"/>
    <w:rsid w:val="001A396B"/>
    <w:rsid w:val="001A4C2E"/>
    <w:rsid w:val="001A5DC4"/>
    <w:rsid w:val="001A6F26"/>
    <w:rsid w:val="001D5B52"/>
    <w:rsid w:val="001E19A9"/>
    <w:rsid w:val="001F1D6F"/>
    <w:rsid w:val="002034E9"/>
    <w:rsid w:val="002066F2"/>
    <w:rsid w:val="00232831"/>
    <w:rsid w:val="00246C51"/>
    <w:rsid w:val="0026160E"/>
    <w:rsid w:val="0026611E"/>
    <w:rsid w:val="00277554"/>
    <w:rsid w:val="00296AFE"/>
    <w:rsid w:val="002A0109"/>
    <w:rsid w:val="002B6CBD"/>
    <w:rsid w:val="002C0EF8"/>
    <w:rsid w:val="002C2200"/>
    <w:rsid w:val="002D0BB9"/>
    <w:rsid w:val="002F4287"/>
    <w:rsid w:val="003145E3"/>
    <w:rsid w:val="0032279A"/>
    <w:rsid w:val="00336B4B"/>
    <w:rsid w:val="00351123"/>
    <w:rsid w:val="003568DC"/>
    <w:rsid w:val="0038013A"/>
    <w:rsid w:val="00392354"/>
    <w:rsid w:val="00396CEC"/>
    <w:rsid w:val="003B2C48"/>
    <w:rsid w:val="003D5051"/>
    <w:rsid w:val="003F09F3"/>
    <w:rsid w:val="003F3814"/>
    <w:rsid w:val="004047A1"/>
    <w:rsid w:val="00404B9A"/>
    <w:rsid w:val="0040659A"/>
    <w:rsid w:val="00406B1B"/>
    <w:rsid w:val="00412EC4"/>
    <w:rsid w:val="00413DE2"/>
    <w:rsid w:val="00420861"/>
    <w:rsid w:val="00434A64"/>
    <w:rsid w:val="00453A9F"/>
    <w:rsid w:val="00484C92"/>
    <w:rsid w:val="004D3C32"/>
    <w:rsid w:val="004E7DDC"/>
    <w:rsid w:val="004F0BB0"/>
    <w:rsid w:val="00500CE4"/>
    <w:rsid w:val="00513DE2"/>
    <w:rsid w:val="005142D1"/>
    <w:rsid w:val="00536EF6"/>
    <w:rsid w:val="0054443B"/>
    <w:rsid w:val="00544882"/>
    <w:rsid w:val="00562BEF"/>
    <w:rsid w:val="005B7224"/>
    <w:rsid w:val="005C20F1"/>
    <w:rsid w:val="005C5F13"/>
    <w:rsid w:val="005D17FD"/>
    <w:rsid w:val="005E6A5F"/>
    <w:rsid w:val="005F7FB6"/>
    <w:rsid w:val="00611A61"/>
    <w:rsid w:val="006133CC"/>
    <w:rsid w:val="00637786"/>
    <w:rsid w:val="00660545"/>
    <w:rsid w:val="006654EC"/>
    <w:rsid w:val="006661F8"/>
    <w:rsid w:val="00667D8E"/>
    <w:rsid w:val="006768FB"/>
    <w:rsid w:val="00685208"/>
    <w:rsid w:val="006B5F66"/>
    <w:rsid w:val="006D21B9"/>
    <w:rsid w:val="006D36D9"/>
    <w:rsid w:val="006F15B7"/>
    <w:rsid w:val="006F4F85"/>
    <w:rsid w:val="00730433"/>
    <w:rsid w:val="00737EB4"/>
    <w:rsid w:val="0074219D"/>
    <w:rsid w:val="0077535F"/>
    <w:rsid w:val="00777476"/>
    <w:rsid w:val="007860D3"/>
    <w:rsid w:val="00797F1C"/>
    <w:rsid w:val="007B1C1C"/>
    <w:rsid w:val="007B2475"/>
    <w:rsid w:val="007B7A04"/>
    <w:rsid w:val="007C017C"/>
    <w:rsid w:val="007C047D"/>
    <w:rsid w:val="007D6FB5"/>
    <w:rsid w:val="007F42AB"/>
    <w:rsid w:val="007F77E6"/>
    <w:rsid w:val="008253C5"/>
    <w:rsid w:val="00834A33"/>
    <w:rsid w:val="00834E21"/>
    <w:rsid w:val="008377B7"/>
    <w:rsid w:val="008711F7"/>
    <w:rsid w:val="00877813"/>
    <w:rsid w:val="00881932"/>
    <w:rsid w:val="00883C8C"/>
    <w:rsid w:val="00887D4B"/>
    <w:rsid w:val="008970F3"/>
    <w:rsid w:val="008A1326"/>
    <w:rsid w:val="008B13A0"/>
    <w:rsid w:val="008B3904"/>
    <w:rsid w:val="008D1288"/>
    <w:rsid w:val="008E4ED5"/>
    <w:rsid w:val="0090358B"/>
    <w:rsid w:val="0091146B"/>
    <w:rsid w:val="009121D7"/>
    <w:rsid w:val="00913531"/>
    <w:rsid w:val="0093125F"/>
    <w:rsid w:val="0093302D"/>
    <w:rsid w:val="009423E8"/>
    <w:rsid w:val="00946DD5"/>
    <w:rsid w:val="009553CB"/>
    <w:rsid w:val="00974A3F"/>
    <w:rsid w:val="00985B65"/>
    <w:rsid w:val="00992C49"/>
    <w:rsid w:val="009B54B0"/>
    <w:rsid w:val="009C142F"/>
    <w:rsid w:val="009D6BC8"/>
    <w:rsid w:val="009F3B87"/>
    <w:rsid w:val="00A40428"/>
    <w:rsid w:val="00A452E5"/>
    <w:rsid w:val="00A52759"/>
    <w:rsid w:val="00A7020D"/>
    <w:rsid w:val="00AC19F8"/>
    <w:rsid w:val="00B13CFA"/>
    <w:rsid w:val="00B3006B"/>
    <w:rsid w:val="00B41EFE"/>
    <w:rsid w:val="00B5130F"/>
    <w:rsid w:val="00B60814"/>
    <w:rsid w:val="00B6088E"/>
    <w:rsid w:val="00B7504D"/>
    <w:rsid w:val="00B91327"/>
    <w:rsid w:val="00B96052"/>
    <w:rsid w:val="00BB07A9"/>
    <w:rsid w:val="00BB5681"/>
    <w:rsid w:val="00BE50EC"/>
    <w:rsid w:val="00BE71F4"/>
    <w:rsid w:val="00BF224F"/>
    <w:rsid w:val="00C05F87"/>
    <w:rsid w:val="00C1309A"/>
    <w:rsid w:val="00C13BF1"/>
    <w:rsid w:val="00C2796D"/>
    <w:rsid w:val="00C50F49"/>
    <w:rsid w:val="00CA3B98"/>
    <w:rsid w:val="00CC6097"/>
    <w:rsid w:val="00CC60F7"/>
    <w:rsid w:val="00D2193A"/>
    <w:rsid w:val="00D31705"/>
    <w:rsid w:val="00D33AA5"/>
    <w:rsid w:val="00D33F04"/>
    <w:rsid w:val="00D67A83"/>
    <w:rsid w:val="00D82837"/>
    <w:rsid w:val="00D83A1D"/>
    <w:rsid w:val="00D907B5"/>
    <w:rsid w:val="00DA09BB"/>
    <w:rsid w:val="00DA1B92"/>
    <w:rsid w:val="00DA2521"/>
    <w:rsid w:val="00DD062B"/>
    <w:rsid w:val="00DD271B"/>
    <w:rsid w:val="00DD40F0"/>
    <w:rsid w:val="00DF6A13"/>
    <w:rsid w:val="00E1316B"/>
    <w:rsid w:val="00E3398F"/>
    <w:rsid w:val="00E45651"/>
    <w:rsid w:val="00E503ED"/>
    <w:rsid w:val="00E62C1F"/>
    <w:rsid w:val="00E65870"/>
    <w:rsid w:val="00E82978"/>
    <w:rsid w:val="00E82F63"/>
    <w:rsid w:val="00E96CAE"/>
    <w:rsid w:val="00EB5A93"/>
    <w:rsid w:val="00EC2D6D"/>
    <w:rsid w:val="00EE79E5"/>
    <w:rsid w:val="00EF2773"/>
    <w:rsid w:val="00F14A3B"/>
    <w:rsid w:val="00F206CA"/>
    <w:rsid w:val="00F44A82"/>
    <w:rsid w:val="00F50FD3"/>
    <w:rsid w:val="00F65925"/>
    <w:rsid w:val="00F67BBB"/>
    <w:rsid w:val="00F850D9"/>
    <w:rsid w:val="00FA519B"/>
    <w:rsid w:val="00FB7DD7"/>
    <w:rsid w:val="00FC0E7D"/>
    <w:rsid w:val="00FC7571"/>
    <w:rsid w:val="00FD2C4B"/>
    <w:rsid w:val="00FE1D47"/>
    <w:rsid w:val="00FE5CC2"/>
    <w:rsid w:val="4A583185"/>
    <w:rsid w:val="6BC42D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uiPriority w:val="0"/>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character" w:customStyle="1" w:styleId="9">
    <w:name w:val="批注框文本 Char"/>
    <w:basedOn w:val="7"/>
    <w:link w:val="2"/>
    <w:qFormat/>
    <w:uiPriority w:val="0"/>
    <w:rPr>
      <w:rFonts w:ascii="Calibri" w:hAnsi="Calibri" w:eastAsia="宋体" w:cs="Times New Roman"/>
      <w:sz w:val="18"/>
      <w:szCs w:val="18"/>
    </w:rPr>
  </w:style>
  <w:style w:type="character" w:customStyle="1" w:styleId="10">
    <w:name w:val="页脚 Char"/>
    <w:basedOn w:val="7"/>
    <w:link w:val="3"/>
    <w:qFormat/>
    <w:uiPriority w:val="0"/>
    <w:rPr>
      <w:rFonts w:ascii="Calibri" w:hAnsi="Calibri" w:eastAsia="宋体" w:cs="Times New Roman"/>
      <w:sz w:val="18"/>
      <w:szCs w:val="18"/>
    </w:rPr>
  </w:style>
  <w:style w:type="character" w:customStyle="1" w:styleId="11">
    <w:name w:val="页眉 Char"/>
    <w:basedOn w:val="7"/>
    <w:link w:val="4"/>
    <w:qFormat/>
    <w:uiPriority w:val="0"/>
    <w:rPr>
      <w:rFonts w:ascii="Calibri" w:hAnsi="Calibri" w:eastAsia="宋体" w:cs="Times New Roman"/>
      <w:sz w:val="18"/>
      <w:szCs w:val="18"/>
    </w:rPr>
  </w:style>
  <w:style w:type="paragraph" w:customStyle="1" w:styleId="12">
    <w:name w:val="列出段落1"/>
    <w:basedOn w:val="1"/>
    <w:unhideWhenUsed/>
    <w:qFormat/>
    <w:uiPriority w:val="99"/>
    <w:pPr>
      <w:ind w:firstLine="420" w:firstLineChars="200"/>
    </w:pPr>
  </w:style>
  <w:style w:type="character" w:customStyle="1" w:styleId="13">
    <w:name w:val="批注框文本 字符"/>
    <w:semiHidden/>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1592</Words>
  <Characters>9076</Characters>
  <Lines>75</Lines>
  <Paragraphs>21</Paragraphs>
  <TotalTime>29</TotalTime>
  <ScaleCrop>false</ScaleCrop>
  <LinksUpToDate>false</LinksUpToDate>
  <CharactersWithSpaces>10647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2020-08-26T00:46:00Z</dcterms:created>
  <dc:creator>user</dc:creator>
  <cp:lastModifiedBy>LINNN000</cp:lastModifiedBy>
  <dcterms:modified xsi:type="dcterms:W3CDTF">2025-05-14T03:25:01Z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