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D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eastAsia="zh-CN"/>
        </w:rPr>
        <w:t>附件</w:t>
      </w:r>
      <w:r>
        <w:rPr>
          <w:rFonts w:hint="default" w:ascii="Times New Roman" w:hAnsi="Times New Roman" w:eastAsia="黑体" w:cs="Times New Roman"/>
          <w:b w:val="0"/>
          <w:bCs/>
          <w:color w:val="000000"/>
          <w:sz w:val="32"/>
          <w:szCs w:val="32"/>
          <w:lang w:val="en-US" w:eastAsia="zh-CN"/>
        </w:rPr>
        <w:t>2</w:t>
      </w:r>
    </w:p>
    <w:p w14:paraId="01F0FF7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lang w:val="en-US" w:eastAsia="zh-CN"/>
        </w:rPr>
      </w:pPr>
      <w:bookmarkStart w:id="0" w:name="_GoBack"/>
      <w:r>
        <w:rPr>
          <w:rFonts w:hint="default" w:ascii="Times New Roman" w:hAnsi="Times New Roman" w:eastAsia="方正小标宋简体" w:cs="Times New Roman"/>
          <w:b w:val="0"/>
          <w:bCs w:val="0"/>
          <w:sz w:val="36"/>
          <w:szCs w:val="36"/>
          <w:lang w:val="en-US" w:eastAsia="zh-CN"/>
        </w:rPr>
        <w:t>广东省职业健康检查机构医疗卫生技术人员要求</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00"/>
        <w:gridCol w:w="5647"/>
        <w:gridCol w:w="1993"/>
      </w:tblGrid>
      <w:tr w14:paraId="641E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420" w:type="dxa"/>
            <w:gridSpan w:val="2"/>
            <w:noWrap w:val="0"/>
            <w:vAlign w:val="center"/>
          </w:tcPr>
          <w:p w14:paraId="5431FC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机构名称</w:t>
            </w:r>
          </w:p>
        </w:tc>
        <w:tc>
          <w:tcPr>
            <w:tcW w:w="7640" w:type="dxa"/>
            <w:gridSpan w:val="2"/>
            <w:noWrap w:val="0"/>
            <w:vAlign w:val="top"/>
          </w:tcPr>
          <w:p w14:paraId="7DEE28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b/>
                <w:bCs/>
                <w:sz w:val="24"/>
                <w:szCs w:val="24"/>
                <w:vertAlign w:val="baseline"/>
                <w:lang w:val="en-US" w:eastAsia="zh-CN"/>
              </w:rPr>
            </w:pPr>
          </w:p>
        </w:tc>
      </w:tr>
      <w:tr w14:paraId="0FEF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1AC4FE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项目名称</w:t>
            </w:r>
          </w:p>
        </w:tc>
        <w:tc>
          <w:tcPr>
            <w:tcW w:w="5647" w:type="dxa"/>
            <w:noWrap w:val="0"/>
            <w:vAlign w:val="top"/>
          </w:tcPr>
          <w:p w14:paraId="3B27BA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医疗卫生技术人员要求</w:t>
            </w:r>
          </w:p>
        </w:tc>
        <w:tc>
          <w:tcPr>
            <w:tcW w:w="1993" w:type="dxa"/>
            <w:noWrap w:val="0"/>
            <w:vAlign w:val="top"/>
          </w:tcPr>
          <w:p w14:paraId="0566D4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机构自查情况</w:t>
            </w:r>
          </w:p>
        </w:tc>
      </w:tr>
      <w:tr w14:paraId="283B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3F81E0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职业资格要求</w:t>
            </w:r>
          </w:p>
        </w:tc>
        <w:tc>
          <w:tcPr>
            <w:tcW w:w="5647" w:type="dxa"/>
            <w:noWrap w:val="0"/>
            <w:vAlign w:val="center"/>
          </w:tcPr>
          <w:p w14:paraId="4C2CF5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从事职业健康检查的医师须取得执业医师资格，护士须取得护士资格证，并在本机构注册登记。</w:t>
            </w:r>
          </w:p>
        </w:tc>
        <w:tc>
          <w:tcPr>
            <w:tcW w:w="1993" w:type="dxa"/>
            <w:noWrap w:val="0"/>
            <w:vAlign w:val="top"/>
          </w:tcPr>
          <w:p w14:paraId="790277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5C18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21780D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购买社会保险要求</w:t>
            </w:r>
          </w:p>
        </w:tc>
        <w:tc>
          <w:tcPr>
            <w:tcW w:w="5647" w:type="dxa"/>
            <w:noWrap w:val="0"/>
            <w:vAlign w:val="center"/>
          </w:tcPr>
          <w:p w14:paraId="00634D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职业健康检查专业技术人员购买社会保险（如工伤保险）。</w:t>
            </w:r>
            <w:r>
              <w:rPr>
                <w:rFonts w:hint="default" w:ascii="Times New Roman" w:hAnsi="Times New Roman" w:eastAsia="宋体" w:cs="Times New Roman"/>
                <w:sz w:val="24"/>
                <w:szCs w:val="24"/>
              </w:rPr>
              <w:t>备案人员中退休人员不超2名。</w:t>
            </w:r>
          </w:p>
        </w:tc>
        <w:tc>
          <w:tcPr>
            <w:tcW w:w="1993" w:type="dxa"/>
            <w:noWrap w:val="0"/>
            <w:vAlign w:val="top"/>
          </w:tcPr>
          <w:p w14:paraId="2B8580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263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20" w:type="dxa"/>
            <w:gridSpan w:val="2"/>
            <w:noWrap w:val="0"/>
            <w:vAlign w:val="center"/>
          </w:tcPr>
          <w:p w14:paraId="34EA8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rPr>
              <w:t>基本人员配置</w:t>
            </w:r>
            <w:r>
              <w:rPr>
                <w:rFonts w:hint="default" w:ascii="Times New Roman" w:hAnsi="Times New Roman" w:eastAsia="宋体" w:cs="Times New Roman"/>
                <w:b/>
                <w:bCs/>
                <w:sz w:val="24"/>
                <w:szCs w:val="24"/>
                <w:lang w:eastAsia="zh-CN"/>
              </w:rPr>
              <w:t>要求</w:t>
            </w:r>
          </w:p>
        </w:tc>
        <w:tc>
          <w:tcPr>
            <w:tcW w:w="5647" w:type="dxa"/>
            <w:noWrap w:val="0"/>
            <w:vAlign w:val="center"/>
          </w:tcPr>
          <w:p w14:paraId="4DCCDA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职业健康检查体格检查医师至少2名，五官科</w:t>
            </w:r>
            <w:r>
              <w:rPr>
                <w:rFonts w:hint="default" w:ascii="Times New Roman" w:hAnsi="Times New Roman" w:eastAsia="宋体" w:cs="Times New Roman"/>
                <w:sz w:val="24"/>
                <w:szCs w:val="24"/>
                <w:lang w:val="en-US" w:eastAsia="zh-CN"/>
              </w:rPr>
              <w:t>检查</w:t>
            </w:r>
            <w:r>
              <w:rPr>
                <w:rFonts w:hint="default" w:ascii="Times New Roman" w:hAnsi="Times New Roman" w:eastAsia="宋体" w:cs="Times New Roman"/>
                <w:sz w:val="24"/>
                <w:szCs w:val="24"/>
              </w:rPr>
              <w:t>医师至少1名</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心电图检查医师至少1名</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放射阅片医师至少2名，护士至少2名。</w:t>
            </w:r>
          </w:p>
        </w:tc>
        <w:tc>
          <w:tcPr>
            <w:tcW w:w="1993" w:type="dxa"/>
            <w:noWrap w:val="0"/>
            <w:vAlign w:val="top"/>
          </w:tcPr>
          <w:p w14:paraId="5ED2FB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0CA4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20" w:type="dxa"/>
            <w:vMerge w:val="restart"/>
            <w:noWrap w:val="0"/>
            <w:vAlign w:val="center"/>
          </w:tcPr>
          <w:p w14:paraId="009701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各类职业健康检查岗位人员配置要求</w:t>
            </w:r>
          </w:p>
        </w:tc>
        <w:tc>
          <w:tcPr>
            <w:tcW w:w="900" w:type="dxa"/>
            <w:noWrap w:val="0"/>
            <w:vAlign w:val="center"/>
          </w:tcPr>
          <w:p w14:paraId="0159A1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粉尘类</w:t>
            </w:r>
          </w:p>
        </w:tc>
        <w:tc>
          <w:tcPr>
            <w:tcW w:w="5647" w:type="dxa"/>
            <w:noWrap w:val="0"/>
            <w:vAlign w:val="center"/>
          </w:tcPr>
          <w:p w14:paraId="6CA8EE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主检医师至少1名具备职业性尘肺病诊断医师资格，肺功能检查医师至少1名。</w:t>
            </w:r>
          </w:p>
        </w:tc>
        <w:tc>
          <w:tcPr>
            <w:tcW w:w="1993" w:type="dxa"/>
            <w:noWrap w:val="0"/>
            <w:vAlign w:val="top"/>
          </w:tcPr>
          <w:p w14:paraId="0A1211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5312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20" w:type="dxa"/>
            <w:vMerge w:val="continue"/>
            <w:noWrap w:val="0"/>
            <w:vAlign w:val="center"/>
          </w:tcPr>
          <w:p w14:paraId="2DFFAD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p>
        </w:tc>
        <w:tc>
          <w:tcPr>
            <w:tcW w:w="900" w:type="dxa"/>
            <w:noWrap w:val="0"/>
            <w:vAlign w:val="center"/>
          </w:tcPr>
          <w:p w14:paraId="11528F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化学因素类</w:t>
            </w:r>
          </w:p>
        </w:tc>
        <w:tc>
          <w:tcPr>
            <w:tcW w:w="5647" w:type="dxa"/>
            <w:noWrap w:val="0"/>
            <w:vAlign w:val="center"/>
          </w:tcPr>
          <w:p w14:paraId="75BC72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主检医师至少1名具备职业性化学中毒职业病诊断医师资格，彩色B超检查医师至少1名，肺功能检查医师至少1名。</w:t>
            </w:r>
          </w:p>
          <w:p w14:paraId="6FECA0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备案甲醇、三硝基甲苯等导致职业性眼病的化学物必须有1名</w:t>
            </w:r>
            <w:r>
              <w:rPr>
                <w:rFonts w:hint="default" w:ascii="Times New Roman" w:hAnsi="Times New Roman" w:eastAsia="宋体" w:cs="Times New Roman"/>
                <w:kern w:val="0"/>
                <w:sz w:val="24"/>
                <w:szCs w:val="24"/>
                <w:lang w:eastAsia="zh-CN"/>
              </w:rPr>
              <w:t>医师</w:t>
            </w:r>
            <w:r>
              <w:rPr>
                <w:rFonts w:hint="default" w:ascii="Times New Roman" w:hAnsi="Times New Roman" w:eastAsia="宋体" w:cs="Times New Roman"/>
                <w:kern w:val="0"/>
                <w:sz w:val="24"/>
                <w:szCs w:val="24"/>
              </w:rPr>
              <w:t>具备眼科执业医师资质</w:t>
            </w:r>
            <w:r>
              <w:rPr>
                <w:rFonts w:hint="default" w:ascii="Times New Roman" w:hAnsi="Times New Roman" w:eastAsia="宋体" w:cs="Times New Roman"/>
                <w:kern w:val="0"/>
                <w:sz w:val="24"/>
                <w:szCs w:val="24"/>
                <w:lang w:eastAsia="zh-CN"/>
              </w:rPr>
              <w:t>。</w:t>
            </w:r>
          </w:p>
        </w:tc>
        <w:tc>
          <w:tcPr>
            <w:tcW w:w="1993" w:type="dxa"/>
            <w:noWrap w:val="0"/>
            <w:vAlign w:val="top"/>
          </w:tcPr>
          <w:p w14:paraId="7E9141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37DA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0" w:type="dxa"/>
            <w:vMerge w:val="continue"/>
            <w:noWrap w:val="0"/>
            <w:vAlign w:val="center"/>
          </w:tcPr>
          <w:p w14:paraId="050073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p>
        </w:tc>
        <w:tc>
          <w:tcPr>
            <w:tcW w:w="900" w:type="dxa"/>
            <w:noWrap w:val="0"/>
            <w:vAlign w:val="center"/>
          </w:tcPr>
          <w:p w14:paraId="173F71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物理因素类</w:t>
            </w:r>
          </w:p>
        </w:tc>
        <w:tc>
          <w:tcPr>
            <w:tcW w:w="5647" w:type="dxa"/>
            <w:noWrap w:val="0"/>
            <w:vAlign w:val="center"/>
          </w:tcPr>
          <w:p w14:paraId="6D7C7A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vertAlign w:val="baseline"/>
                <w:lang w:val="en-US" w:eastAsia="zh-CN"/>
              </w:rPr>
              <w:t>主检医师至少1名具备物理因素所致职业病和（或）职业性耳鼻喉口腔疾病诊断医师资格，听力检查医师至少2名。</w:t>
            </w:r>
          </w:p>
          <w:p w14:paraId="0E18EB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备案微波、激光、紫外线项目必须有1名</w:t>
            </w:r>
            <w:r>
              <w:rPr>
                <w:rFonts w:hint="default" w:ascii="Times New Roman" w:hAnsi="Times New Roman" w:eastAsia="宋体" w:cs="Times New Roman"/>
                <w:kern w:val="0"/>
                <w:sz w:val="24"/>
                <w:szCs w:val="24"/>
                <w:lang w:eastAsia="zh-CN"/>
              </w:rPr>
              <w:t>医师</w:t>
            </w:r>
            <w:r>
              <w:rPr>
                <w:rFonts w:hint="default" w:ascii="Times New Roman" w:hAnsi="Times New Roman" w:eastAsia="宋体" w:cs="Times New Roman"/>
                <w:kern w:val="0"/>
                <w:sz w:val="24"/>
                <w:szCs w:val="24"/>
              </w:rPr>
              <w:t>具备眼科执业医师资质</w:t>
            </w:r>
            <w:r>
              <w:rPr>
                <w:rFonts w:hint="default" w:ascii="Times New Roman" w:hAnsi="Times New Roman" w:eastAsia="宋体" w:cs="Times New Roman"/>
                <w:kern w:val="0"/>
                <w:sz w:val="24"/>
                <w:szCs w:val="24"/>
                <w:lang w:eastAsia="zh-CN"/>
              </w:rPr>
              <w:t>。</w:t>
            </w:r>
          </w:p>
        </w:tc>
        <w:tc>
          <w:tcPr>
            <w:tcW w:w="1993" w:type="dxa"/>
            <w:noWrap w:val="0"/>
            <w:vAlign w:val="top"/>
          </w:tcPr>
          <w:p w14:paraId="7F6D9C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0F22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20" w:type="dxa"/>
            <w:vMerge w:val="continue"/>
            <w:noWrap w:val="0"/>
            <w:vAlign w:val="center"/>
          </w:tcPr>
          <w:p w14:paraId="3218C9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p>
        </w:tc>
        <w:tc>
          <w:tcPr>
            <w:tcW w:w="900" w:type="dxa"/>
            <w:noWrap w:val="0"/>
            <w:vAlign w:val="center"/>
          </w:tcPr>
          <w:p w14:paraId="4E8725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生物因素类</w:t>
            </w:r>
          </w:p>
        </w:tc>
        <w:tc>
          <w:tcPr>
            <w:tcW w:w="5647" w:type="dxa"/>
            <w:noWrap w:val="0"/>
            <w:vAlign w:val="center"/>
          </w:tcPr>
          <w:p w14:paraId="4F37B3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主检医师至少1名具备其他类职业病诊断医师资格，彩色B超检查医师至少1名，肺功能检查医师至少1名。</w:t>
            </w:r>
          </w:p>
        </w:tc>
        <w:tc>
          <w:tcPr>
            <w:tcW w:w="1993" w:type="dxa"/>
            <w:noWrap w:val="0"/>
            <w:vAlign w:val="top"/>
          </w:tcPr>
          <w:p w14:paraId="2ADAAE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7DF2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20" w:type="dxa"/>
            <w:vMerge w:val="continue"/>
            <w:noWrap w:val="0"/>
            <w:vAlign w:val="center"/>
          </w:tcPr>
          <w:p w14:paraId="29C7AD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p>
        </w:tc>
        <w:tc>
          <w:tcPr>
            <w:tcW w:w="900" w:type="dxa"/>
            <w:noWrap w:val="0"/>
            <w:vAlign w:val="center"/>
          </w:tcPr>
          <w:p w14:paraId="3695C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放射因素类</w:t>
            </w:r>
          </w:p>
        </w:tc>
        <w:tc>
          <w:tcPr>
            <w:tcW w:w="5647" w:type="dxa"/>
            <w:noWrap w:val="0"/>
            <w:vAlign w:val="center"/>
          </w:tcPr>
          <w:p w14:paraId="7ADD9E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主检医师至少1名具备职业性放射性疾病诊断医师资格，眼科执业医师1名，彩色B超检查医师至少1名。</w:t>
            </w:r>
          </w:p>
        </w:tc>
        <w:tc>
          <w:tcPr>
            <w:tcW w:w="1993" w:type="dxa"/>
            <w:noWrap w:val="0"/>
            <w:vAlign w:val="top"/>
          </w:tcPr>
          <w:p w14:paraId="6ED17E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3739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0" w:type="dxa"/>
            <w:vMerge w:val="continue"/>
            <w:noWrap w:val="0"/>
            <w:vAlign w:val="center"/>
          </w:tcPr>
          <w:p w14:paraId="73AB05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p>
        </w:tc>
        <w:tc>
          <w:tcPr>
            <w:tcW w:w="900" w:type="dxa"/>
            <w:noWrap w:val="0"/>
            <w:vAlign w:val="center"/>
          </w:tcPr>
          <w:p w14:paraId="27F08C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其他类（特殊作业等）</w:t>
            </w:r>
          </w:p>
        </w:tc>
        <w:tc>
          <w:tcPr>
            <w:tcW w:w="5647" w:type="dxa"/>
            <w:noWrap w:val="0"/>
            <w:vAlign w:val="center"/>
          </w:tcPr>
          <w:p w14:paraId="40479E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主检医师至少1名具备其他类职业病诊断医师资格，听力检查医师至少1名。</w:t>
            </w:r>
          </w:p>
        </w:tc>
        <w:tc>
          <w:tcPr>
            <w:tcW w:w="1993" w:type="dxa"/>
            <w:noWrap w:val="0"/>
            <w:vAlign w:val="top"/>
          </w:tcPr>
          <w:p w14:paraId="3C0F72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729E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420" w:type="dxa"/>
            <w:gridSpan w:val="2"/>
            <w:noWrap w:val="0"/>
            <w:vAlign w:val="center"/>
          </w:tcPr>
          <w:p w14:paraId="26F4A4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技术和质量控制负责人要求</w:t>
            </w:r>
          </w:p>
        </w:tc>
        <w:tc>
          <w:tcPr>
            <w:tcW w:w="5647" w:type="dxa"/>
            <w:noWrap w:val="0"/>
            <w:vAlign w:val="center"/>
          </w:tcPr>
          <w:p w14:paraId="1F9AC0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本医疗机构在册的执业医师、具有副高级以上卫生专业临床技术职务任职资格、熟悉职业病诊断和职业健康检查相关法律法规、标准、技术规范。</w:t>
            </w:r>
          </w:p>
        </w:tc>
        <w:tc>
          <w:tcPr>
            <w:tcW w:w="1993" w:type="dxa"/>
            <w:noWrap w:val="0"/>
            <w:vAlign w:val="top"/>
          </w:tcPr>
          <w:p w14:paraId="50AE9F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3D7F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011CAC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质量管理部门要求</w:t>
            </w:r>
          </w:p>
        </w:tc>
        <w:tc>
          <w:tcPr>
            <w:tcW w:w="5647" w:type="dxa"/>
            <w:noWrap w:val="0"/>
            <w:vAlign w:val="center"/>
          </w:tcPr>
          <w:p w14:paraId="122287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质量管理部门应配有专职或兼职的质量监督员和档案管理人员。</w:t>
            </w:r>
          </w:p>
        </w:tc>
        <w:tc>
          <w:tcPr>
            <w:tcW w:w="1993" w:type="dxa"/>
            <w:noWrap w:val="0"/>
            <w:vAlign w:val="top"/>
          </w:tcPr>
          <w:p w14:paraId="03AD36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41B0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01F262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实验室检测人员配置要求</w:t>
            </w:r>
          </w:p>
        </w:tc>
        <w:tc>
          <w:tcPr>
            <w:tcW w:w="5647" w:type="dxa"/>
            <w:noWrap w:val="0"/>
            <w:vAlign w:val="center"/>
          </w:tcPr>
          <w:p w14:paraId="58D7B1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实验室检测人员不少于2名,其中1名具有中级以上专业技术职称。</w:t>
            </w:r>
          </w:p>
        </w:tc>
        <w:tc>
          <w:tcPr>
            <w:tcW w:w="1993" w:type="dxa"/>
            <w:noWrap w:val="0"/>
            <w:vAlign w:val="top"/>
          </w:tcPr>
          <w:p w14:paraId="7FE253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r w14:paraId="281B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noWrap w:val="0"/>
            <w:vAlign w:val="center"/>
          </w:tcPr>
          <w:p w14:paraId="437FCC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培训要求</w:t>
            </w:r>
          </w:p>
        </w:tc>
        <w:tc>
          <w:tcPr>
            <w:tcW w:w="5647" w:type="dxa"/>
            <w:noWrap w:val="0"/>
            <w:vAlign w:val="center"/>
          </w:tcPr>
          <w:p w14:paraId="0AFE70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0"/>
                <w:sz w:val="24"/>
                <w:szCs w:val="24"/>
              </w:rPr>
              <w:t>技术负责人</w:t>
            </w:r>
            <w:r>
              <w:rPr>
                <w:rFonts w:hint="default" w:ascii="Times New Roman" w:hAnsi="Times New Roman" w:eastAsia="宋体" w:cs="Times New Roman"/>
                <w:sz w:val="24"/>
                <w:szCs w:val="24"/>
                <w:vertAlign w:val="baseline"/>
                <w:lang w:val="en-US" w:eastAsia="zh-CN"/>
              </w:rPr>
              <w:t>、质量控制负责人、职业健康检查技术人员应当每3年参加市级及以上机构组织的职业健康检查知识培训并考核合格。</w:t>
            </w:r>
          </w:p>
        </w:tc>
        <w:tc>
          <w:tcPr>
            <w:tcW w:w="1993" w:type="dxa"/>
            <w:noWrap w:val="0"/>
            <w:vAlign w:val="top"/>
          </w:tcPr>
          <w:p w14:paraId="72A1CB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Times New Roman" w:hAnsi="Times New Roman" w:eastAsia="宋体" w:cs="Times New Roman"/>
                <w:sz w:val="24"/>
                <w:szCs w:val="24"/>
                <w:vertAlign w:val="baseline"/>
                <w:lang w:val="en-US" w:eastAsia="zh-CN"/>
              </w:rPr>
            </w:pPr>
          </w:p>
        </w:tc>
      </w:tr>
    </w:tbl>
    <w:p w14:paraId="250FDB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备注：1.开展各类别职业健康检查工作需要配置的人员是指基本人员配置要求+相应类别职业健康检查岗位人员配置要求。</w:t>
      </w:r>
    </w:p>
    <w:p w14:paraId="626812C9">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kern w:val="0"/>
          <w:sz w:val="28"/>
          <w:szCs w:val="28"/>
          <w:lang w:val="en-US" w:eastAsia="zh-CN"/>
        </w:rPr>
        <w:t>*表示备案特定项目需要具备的条件。</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B4F53-1065-4CE4-8AE6-B66BC83B0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1D1DEC5-456F-44E3-9538-E7FE7F90AB8F}"/>
  </w:font>
  <w:font w:name="仿宋_GB2312">
    <w:altName w:val="仿宋"/>
    <w:panose1 w:val="02010609030101010101"/>
    <w:charset w:val="86"/>
    <w:family w:val="auto"/>
    <w:pitch w:val="default"/>
    <w:sig w:usb0="00000000" w:usb1="00000000" w:usb2="00000000" w:usb3="00000000" w:csb0="00040000" w:csb1="00000000"/>
    <w:embedRegular r:id="rId3" w:fontKey="{02450489-365D-4F39-B65C-81F4BB18132B}"/>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4" w:fontKey="{EF908CFC-8804-4170-8CF0-7CCAE579A6E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5560F"/>
    <w:rsid w:val="01785675"/>
    <w:rsid w:val="1195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_GB2312" w:cs="Times New Roman"/>
      <w:sz w:val="32"/>
      <w:szCs w:val="24"/>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2025-01-23T10:30:00Z</dcterms:created>
  <dc:creator>Y-ING</dc:creator>
  <cp:lastModifiedBy>Y-ING</cp:lastModifiedBy>
  <dcterms:modified xsi:type="dcterms:W3CDTF">2025-01-23T10:33:03Z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F35FD792E63A4CF5B004EB189389FBED_13</vt:lpwstr>
  </property>
  <property fmtid="{D5CDD505-2E9C-101B-9397-08002B2CF9AE}" pid="4" name="KSOTemplateDocerSaveRecord">
    <vt:lpwstr>eyJoZGlkIjoiNjlhNjViYTI3NGVhODM4NTQwNTk1ZTRmZWE2YmRiN2YiLCJ1c2VySWQiOiI0MTM4MzM1MDMifQ==</vt:lpwstr>
  </property>
</Properties>
</file>