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附件1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512"/>
        <w:gridCol w:w="800"/>
        <w:gridCol w:w="2650"/>
        <w:gridCol w:w="860"/>
        <w:gridCol w:w="1170"/>
        <w:gridCol w:w="957"/>
        <w:gridCol w:w="938"/>
        <w:gridCol w:w="1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503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  <w:t>中央对地方转移支付项目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绩效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pacing w:val="0"/>
                <w:kern w:val="0"/>
                <w:sz w:val="36"/>
                <w:szCs w:val="36"/>
                <w:u w:val="none"/>
                <w:lang w:eastAsia="zh-CN" w:bidi="ar"/>
              </w:rPr>
              <w:t>评价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pacing w:val="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  <w:r>
              <w:rPr>
                <w:rStyle w:val="6"/>
                <w:rFonts w:hint="default" w:ascii="Times New Roman" w:hAnsi="Times New Roman" w:cs="Times New Roman"/>
                <w:spacing w:val="0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503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（20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eastAsia="zh-CN" w:bidi="ar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医疗服务与保障能力提升（公立医院综合改革）补助资金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77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国家卫生健康委、国家中医药局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4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广东省财政厅、广东省卫生健康委、广东省中医药局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各地市（深圳市除外）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74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执行率（B/A)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7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33,183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23,695.15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其中：中央补助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33,183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23,695.15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71.41%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  <w:jc w:val="center"/>
        </w:trPr>
        <w:tc>
          <w:tcPr>
            <w:tcW w:w="17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宋体" w:cs="Times New Roman"/>
                <w:spacing w:val="0"/>
                <w:sz w:val="18"/>
                <w:szCs w:val="18"/>
                <w:lang w:val="en-US" w:eastAsia="zh-CN" w:bidi="ar"/>
              </w:rPr>
              <w:t xml:space="preserve">    地方资金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74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eastAsia="宋体" w:cs="Times New Roman"/>
                <w:spacing w:val="0"/>
                <w:sz w:val="18"/>
                <w:szCs w:val="18"/>
                <w:lang w:val="en-US" w:eastAsia="zh-CN" w:bidi="ar"/>
              </w:rPr>
              <w:t>其他资金</w:t>
            </w:r>
            <w:r>
              <w:rPr>
                <w:rStyle w:val="8"/>
                <w:rFonts w:hint="default" w:ascii="Times New Roman" w:hAnsi="Times New Roman" w:eastAsia="宋体" w:cs="Times New Roman"/>
                <w:spacing w:val="0"/>
                <w:sz w:val="18"/>
                <w:szCs w:val="18"/>
                <w:lang w:val="en-US" w:eastAsia="zh-CN" w:bidi="ar"/>
              </w:rPr>
              <w:t>（包括结转结余）</w:t>
            </w:r>
          </w:p>
        </w:tc>
        <w:tc>
          <w:tcPr>
            <w:tcW w:w="2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5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年初设定目标</w:t>
            </w:r>
          </w:p>
        </w:tc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深化以公益性为导向的公立医院改革，推动公立医院高质量发展，深入推广三明医改经验，促进医保、医疗、医药协同发展和治理。</w:t>
            </w:r>
          </w:p>
        </w:tc>
        <w:tc>
          <w:tcPr>
            <w:tcW w:w="30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医疗服务体系进一步优化，资源布局更加合理。公立医院治理机制进一步完善，公益性更加凸显。公立医院运营管理效能提升，加快实现“三个转变”。示范试点发挥引领带动作用，公立医院改革纵深发展。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22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值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23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数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值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公立医院医疗服务收入（不含药品、耗材、检查、化验收入）占医疗收入的比例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较上年提高或高于全国平均值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30.6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32.19%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按病种付费的住院参保人员占总住院参保人员的比例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较上年提高或高于全国平均值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97%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96.12%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高于全国平均值）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二级以上公立医院安检覆盖率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≥75％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95.36%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99%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bidi="ar"/>
              </w:rPr>
              <w:t>二级以上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公立医院安防系统建设达标率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≥85％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100%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三级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公立医院平均住院日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较上年降低或低于全国平均值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7.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7.4日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（低于全国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平均值）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基层医疗卫生机构诊疗量占总诊疗量的比例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较上年提高或高于全国平均值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46.9%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49.3%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三级公立医院门诊人次数与出院人次数比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较上年降低或低于全国平均值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22.64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20.6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  <w:t>可持续影响指标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公立医院资产负债率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较上年降低或低于全国平均值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41.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" w:eastAsia="zh-CN"/>
              </w:rPr>
              <w:t>78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40.68%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实现收支平衡的公立医院数占公立医院总数的比例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较上年提高或高于全国平均值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" w:eastAsia="zh-CN"/>
              </w:rPr>
              <w:t>8.10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60.78%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受益程度指标</w:t>
            </w: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公立医院次均门诊费用增幅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较上年降低或低于全国平均值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-13.78%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-11.21%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（预计低于全国平均值）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eastAsia="zh-CN" w:bidi="ar"/>
              </w:rPr>
              <w:t>公立医院人均住院费用增幅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较上年降低或低于全国平均值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-3.59%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  <w:lang w:val="en-US" w:eastAsia="zh-CN"/>
              </w:rPr>
              <w:t>-5.09%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说明</w:t>
            </w:r>
          </w:p>
        </w:tc>
        <w:tc>
          <w:tcPr>
            <w:tcW w:w="90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sz w:val="18"/>
                <w:szCs w:val="18"/>
                <w:u w:val="none"/>
              </w:rPr>
              <w:t>公立医院次均门诊费用增幅指标，由于2022年有疫情专项调查表，2023年没有，故该指标数据在计算过程中，2022年剔除了核酸检测人次数，2023年的未剔除。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600C5"/>
    <w:rsid w:val="0F7C4109"/>
    <w:rsid w:val="24F149C3"/>
    <w:rsid w:val="355600C5"/>
    <w:rsid w:val="35852244"/>
    <w:rsid w:val="38622A11"/>
    <w:rsid w:val="63915734"/>
    <w:rsid w:val="789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next w:val="1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21"/>
    <w:qFormat/>
    <w:uiPriority w:val="0"/>
    <w:rPr>
      <w:rFonts w:hint="default" w:ascii="Times New Roman" w:hAnsi="Times New Roman" w:eastAsia="宋体" w:cs="Times New Roman"/>
      <w:color w:val="000000"/>
      <w:sz w:val="24"/>
      <w:szCs w:val="24"/>
      <w:u w:val="none"/>
    </w:rPr>
  </w:style>
  <w:style w:type="character" w:customStyle="1" w:styleId="7">
    <w:name w:val="font8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2024-05-08T07:51:00Z</dcterms:created>
  <dc:creator>LINNN000</dc:creator>
  <cp:lastModifiedBy>LINNN000</cp:lastModifiedBy>
  <dcterms:modified xsi:type="dcterms:W3CDTF">2024-05-08T07:52:48Z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