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2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20"/>
        <w:gridCol w:w="2367"/>
        <w:gridCol w:w="936"/>
        <w:gridCol w:w="606"/>
        <w:gridCol w:w="398"/>
        <w:gridCol w:w="890"/>
        <w:gridCol w:w="832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中央对地方转移支付区域绩效目标表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4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公立医院改革与高质量发展示范项目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中央主管部门</w:t>
            </w:r>
          </w:p>
        </w:tc>
        <w:tc>
          <w:tcPr>
            <w:tcW w:w="74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国家卫生健康委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、国家财政部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省级财政部门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广东省财政厅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省级主管部门</w:t>
            </w:r>
          </w:p>
        </w:tc>
        <w:tc>
          <w:tcPr>
            <w:tcW w:w="3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广东省卫生健康委、广东省中医药局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年度金额：</w:t>
            </w:r>
          </w:p>
        </w:tc>
        <w:tc>
          <w:tcPr>
            <w:tcW w:w="5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37,461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其中：中央补助</w:t>
            </w:r>
          </w:p>
        </w:tc>
        <w:tc>
          <w:tcPr>
            <w:tcW w:w="5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20,000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</w:t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地方补助</w:t>
            </w:r>
          </w:p>
        </w:tc>
        <w:tc>
          <w:tcPr>
            <w:tcW w:w="5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17,461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  <w:t>总体目标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居民健康水平达到新高度。健康服务水平和质量迈上新台阶。医务人员积极性得到新提升。</w:t>
            </w:r>
          </w:p>
        </w:tc>
        <w:tc>
          <w:tcPr>
            <w:tcW w:w="4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全市医疗救治能力稳步提升。优质医疗资源总量供给扩面提质。深化人事薪酬制度改革。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指标值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  <w:t>2023年数值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指标</w:t>
            </w: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医疗服务收入（不含药品、耗材、检查、化验收入）占公立医院医疗收入的比例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≥29%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30.82%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按病种付费（DRG、DIP、单病种）的住院参保人员数占公立医院总住院参保人员数的比例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≥99.6%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本市财政卫生健康支出预算执行率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≥98.95%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126.69%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三级公立医院门诊人次数与出院人次数比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＜26.5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23.25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市县两级由党委和政府主要负责同志（双组长）或其中一位主要负责同志任医改领导小组组长的比例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市县两级由一位政府负责同志统一分管医疗、医保、医药工作的比例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实行党委领导下的院长负责制的公立医院比例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三级公立医院病例组合指数（CMI值）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≥1.15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2023年数据统计中，2022年数据为1.29。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三级公立医院出院患者四级手术比例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≥17.2%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25.13%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参与同级检查结果互认的公立医院占比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≥99%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三级公立医院平均住院日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＜7.1天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7.08天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实现收支平衡的公立医院占比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≥78%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68.91%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原因：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医院业务收入较疫情前同期水平降低，管理费用需正常开支，导致管理费用占比增加。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改进措施：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开展公立医疗机构经济管理年活动，加强成本控制和精细管理，促进降本增效。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管理费用占公立医院费用总额的比重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＜10.1％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13.49%</w:t>
            </w: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公立医院门诊和住院次均费用增幅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＜10％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门诊1.88%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住院-7.08%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无基本建设和设备购置非流动负债的公立医院占比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≥98%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94.59%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原因：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个别区属医院还有基本建设和设备购置非流动负债。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改进措施：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加强公立医院发展的统筹规划，助力公立医院良性运营。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建立医疗服务价格动态调整机制的公立医院比例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合理确定并动态调整薪酬的公立医院比例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≥97%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公立医院薪酬中稳定收入的比例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≥24.5%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eastAsia="zh-CN" w:bidi="ar"/>
              </w:rPr>
              <w:t>指标</w:t>
            </w: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县域内住院量占比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≥99.7%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99.7%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基层医疗卫生机构诊疗量占总诊疗量的比例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≥32.3%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34.03%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napToGrid w:val="0"/>
                <w:sz w:val="18"/>
                <w:szCs w:val="18"/>
                <w:lang w:val="en-US" w:eastAsia="zh-CN" w:bidi="ar"/>
              </w:rPr>
              <w:t>指标</w:t>
            </w: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公立医院门诊和住院患者满意度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≥87分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门诊89.29分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住院89.02分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公立医院医务人员满意度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≥89.5分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90.59分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7BCD"/>
    <w:rsid w:val="0F7C4109"/>
    <w:rsid w:val="24F149C3"/>
    <w:rsid w:val="35852244"/>
    <w:rsid w:val="38622A11"/>
    <w:rsid w:val="63915734"/>
    <w:rsid w:val="73B47BCD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2024-05-08T07:52:00Z</dcterms:created>
  <dc:creator>LINNN000</dc:creator>
  <cp:lastModifiedBy>LINNN000</cp:lastModifiedBy>
  <dcterms:modified xsi:type="dcterms:W3CDTF">2024-05-08T07:53:19Z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