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推进卫生健康领域设备设施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迭代升级</w:t>
      </w:r>
      <w:r>
        <w:rPr>
          <w:rFonts w:hint="eastAsia" w:eastAsia="方正小标宋简体" w:cs="Times New Roman"/>
          <w:sz w:val="44"/>
          <w:szCs w:val="44"/>
          <w:u w:val="none"/>
          <w:lang w:val="en-US" w:eastAsia="zh-CN"/>
        </w:rPr>
        <w:t>工作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为深入贯彻习近平总书记关于健康中国建设的系列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论述精神，认真落实党中央、国务院关于推动大规模设备更新和消费品以旧换新的工作部署，加强优质高效医疗卫生服务体系建设，推动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卫生健康高质量发展，结合工作实际，制定本方案。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u w:val="none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贯彻落实中央和省有关部署要求，结合落实省委“1310”具体部署和省“百县千镇万村高质量发展工程”，实施医疗卫生机构装备更新行动、医疗机构病房改造提升行动、医疗卫生机构信息化设施升级行动，全面提升各级各类医疗卫生机构服务水平，显著改善人民群众看病就医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到2027年，全省卫生健康领域设备投资规模较2023年增长2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%以上。调整优化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全省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医疗机构病房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床位结构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配置，并配备较高舒适度和适老化的设施设备。各类医疗卫生机构结合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信息技术应用创新等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改造要求，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基本完成老旧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信息化设施迭代升级。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u w:val="none"/>
          <w:lang w:val="en-US" w:eastAsia="zh-CN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（一）实施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</w:rPr>
        <w:t>医疗卫生机构装备更新行动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推进医疗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卫生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机构设施设备迭代升级。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推进医疗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卫生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机构装备供给侧改革，拓宽设备设施的来源渠道和投入方式，激发更新迭代升级动力。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研究制订医疗卫生机构装备更新目录和指南，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探索发展医疗装备产品“购买技术服务”、共建共享共用等新模式。支持和鼓励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地市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发展医疗装备集中采购。到2024年底，更新医疗卫生机构医疗影像、放射治疗、远程诊疗以及手术机器人等设备0.</w:t>
      </w:r>
      <w:r>
        <w:rPr>
          <w:rFonts w:hint="eastAsia" w:eastAsia="仿宋_GB2312" w:cs="Times New Roman"/>
          <w:sz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万台；到2027年底，更新以上设备超过</w:t>
      </w:r>
      <w:r>
        <w:rPr>
          <w:rFonts w:hint="eastAsia" w:eastAsia="仿宋_GB2312" w:cs="Times New Roman"/>
          <w:sz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万台。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推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动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院前急救设施设备更新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换代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以地级以上市为单位，按照每3万人口1辆救护车的配置标准补齐急救车辆；以县域为单位，按照至少每1万人口1辆救护车的配置标准补齐急救车辆。更新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换代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超过或接近使用年限的急救车辆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u w:val="none"/>
          <w:lang w:eastAsia="zh-CN"/>
        </w:rPr>
        <w:t>更新升级省级院前急救信息化平台系统，</w:t>
      </w:r>
      <w:r>
        <w:rPr>
          <w:rFonts w:hint="default" w:ascii="Times New Roman" w:hAnsi="Times New Roman" w:eastAsia="仿宋_GB2312" w:cs="Times New Roman"/>
          <w:sz w:val="32"/>
          <w:u w:val="none"/>
        </w:rPr>
        <w:t>建立</w:t>
      </w:r>
      <w:r>
        <w:rPr>
          <w:rFonts w:hint="eastAsia" w:ascii="Times New Roman" w:hAnsi="Times New Roman" w:eastAsia="仿宋_GB2312" w:cs="Times New Roman"/>
          <w:sz w:val="32"/>
          <w:u w:val="none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u w:val="none"/>
          <w:lang w:eastAsia="zh-CN"/>
        </w:rPr>
        <w:t>省一体化急诊急救平台，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对接各地市120急救指挥中心和120急救车辆信息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系统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，实现全省互联。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底，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全省救护车更新换代超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800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辆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，达到国家院前急救设备配置标准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FF000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基层医疗卫生服务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水平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照国家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卫生健康委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《乡镇卫生院服务能力评价指南》和《社区卫生服务中心服务能力评价指南》要求，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推进卫生健康领域“百千万工程”，全面提高基层公共卫生、全科、中医等能力。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到2027年，</w:t>
      </w:r>
      <w:r>
        <w:rPr>
          <w:rFonts w:hint="eastAsia" w:eastAsia="仿宋_GB2312" w:cs="Times New Roman"/>
          <w:color w:val="auto"/>
          <w:sz w:val="32"/>
          <w:u w:val="none"/>
          <w:lang w:val="en-US" w:eastAsia="zh-CN"/>
        </w:rPr>
        <w:t>1800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间以上乡镇卫生院和社区卫生服务中心达到国家基本标准、700间以上达到国家推荐标准</w:t>
      </w:r>
      <w:r>
        <w:rPr>
          <w:rFonts w:hint="default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加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强公共卫生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机构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核心能力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建设。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全面强化各级各类公共卫生机构能力建设，迭代更新超过使用年限的执法、应急和检查检验车辆，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按规定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配置足量移动执法、实时监测、检查检验等设备，完成实验室设备更新和配套软件升级。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到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底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全省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公共卫生机构更新换代实验室设备、执法应急设施1500台以上，到2027年底共更新换代3000台以上。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推进设备租赁试点扩面提质。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定期梳理医疗机构设备租赁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供给和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需求清单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推动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省属公立医院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医疗设备租赁改革试点增点扩面。</w:t>
      </w:r>
      <w:r>
        <w:rPr>
          <w:rFonts w:hint="eastAsia" w:ascii="Times New Roman" w:hAnsi="Times New Roman" w:eastAsia="仿宋_GB2312" w:cs="Times New Roman"/>
          <w:color w:val="auto"/>
          <w:sz w:val="32"/>
          <w:u w:val="none"/>
          <w:lang w:val="en-US" w:eastAsia="zh-CN"/>
        </w:rPr>
        <w:t>鼓励供方市场主体发展，引导形成多种市场主体参与的医疗设备租赁服务供应商群。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2024年底前，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在全省21个地市推广实施医疗设备租赁改革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，探索设备租赁新模式。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鼓励医疗设施设备高水平再生利用。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管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公立医疗机构闲置、超使用年限可再生利用医疗设备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清单，以及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基层医疗机构医疗设备配置需求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清单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，定期发布余缺医疗设备品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目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，匹配余缺医疗设备。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先进适用型医疗装备在不同层级医疗卫生机构间调剂和划拨机制，推动医疗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设施设备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再生利用，形成科学合理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的医疗装备阶梯配置格局。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（二）实施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</w:rPr>
        <w:t>医疗机构病房改造提升行动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改造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医疗机构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病房空间。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增加二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人间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、三人间病房占比</w:t>
      </w:r>
      <w:r>
        <w:rPr>
          <w:rFonts w:hint="eastAsia" w:eastAsia="仿宋_GB2312" w:cs="Times New Roman"/>
          <w:sz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推动二级及以上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医疗机构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将部分四人及以上病房改造为二人间或三人间，妇产科、儿科、老年医学科病房可适当增加单人间比例。到2027年，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全省新增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二人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三人间病房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6500间以上</w:t>
      </w:r>
      <w:r>
        <w:rPr>
          <w:rFonts w:hint="eastAsia" w:eastAsia="仿宋_GB2312" w:cs="Times New Roman"/>
          <w:sz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二级及以上公立医疗机构（含综合医院、中医医院、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妇幼保健院、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专科医院等）实现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、三人间病房占比80%以上，新建医院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、三人间病房占比90%以上</w:t>
      </w:r>
      <w:r>
        <w:rPr>
          <w:rFonts w:hint="eastAsia" w:eastAsia="仿宋_GB2312" w:cs="Times New Roman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优化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医疗机构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病房环境。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更新升级病房空气净化、照明、防噪、家居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设施，保护病人隐私，为病人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治疗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康复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营造舒适环境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医院公共空间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病房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无障碍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适老化改造，配置必要助残助老设备，方便孕妇、残疾人、老年人等特殊人群看病就医。加强儿童友好设施建设，为儿童就医、家属陪护创造良好环境。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改善病房医务人员值班室、护士站等工作条件，优化医务人员工作环境。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推进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医疗机构“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厕所革命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为具备改造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条件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的无独立卫生间病房增设独立卫生间，合理增设公共卫生间。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升级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改造现有病房卫生间，配置卫生洁具、消毒设施、改善通风设施，配备更新语音求助设备或紧急呼叫器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配套建设无障碍、适老化设施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增设排水排气管路阻断气溶胶传播设施。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10.提升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医疗卫生机构安全保障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能力。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落实安全生产主体责任，加强医疗机构建筑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改造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规范化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管理。全面检修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改造升级院内供水、供电、消防、老旧污水管网等基础设施系统，提升水、电、气、污水、污物处理设施处理能力。加强病房配套设施管护，确保设施设备正常运行。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（三）实施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</w:rPr>
        <w:t>医疗卫生机构信息化设施升级行动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.升级卫生健康业务专网。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以电子政务外网为骨干，整合多类网络资源，建设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完善</w:t>
      </w:r>
      <w:r>
        <w:rPr>
          <w:rFonts w:hint="default" w:ascii="Times New Roman" w:hAnsi="Times New Roman" w:eastAsia="仿宋_GB2312"/>
          <w:sz w:val="32"/>
          <w:u w:val="none"/>
        </w:rPr>
        <w:t>卫生健康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业务专网，联通全省医疗卫生机构，形成全省健康医疗数据交互、业务协同“一张网”，支撑远程医疗、分级诊疗、检查检验结果互认共享等业务开展。加强网络冗余建设，提高网络承载和容灾能力。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建强“健康大脑”。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加强基础设施、数据资源、应用支撑等平台基础建设，优化完善全民健康信息平台功能，提高全域便民惠民、业务协同、行业治理、政务服务等能力。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健康医疗大数据中心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，深化健康医疗数据资源应用，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大力发展“人工智能+医疗健康”，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提升医疗服务智能化水平。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推进数字医院建设。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升级医院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数据中心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，提高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信息处理、数据存储和计算效能。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逐步推动数字医院信息系统按需上云。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深化新兴信息技术应用，迭代升级医院信息系统，强化数字化医疗、服务、管理、安全能力。升级预约、缴费、查询、取药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、医院管理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信息化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设备设施，开展信息系统适老化改造，提高便利化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、智能化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推动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数字医共体建设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整合县域医共体内信息化设施资源，迭代升级数据中心和灾备中心，集约建设医共体统一信息系统，实现医共体内信息互通共享、业务协同。升级基层医疗卫生机构管理信息系统，延伸覆盖村卫生站。在基层医疗机构推广应用人工智能辅助诊断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/>
          <w:bCs/>
          <w:sz w:val="32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提升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网络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数据安全防护</w:t>
      </w:r>
      <w:r>
        <w:rPr>
          <w:rFonts w:hint="eastAsia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能力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落实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网络安全等级保护、商用密码应用、信息技术应用创新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，升级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网络与数据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安全防护设施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推进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计算机、服务器、网络、安全等设备和信息系统、操作系统及数据库等</w:t>
      </w:r>
      <w:r>
        <w:rPr>
          <w:rFonts w:hint="eastAsia" w:ascii="Times New Roman" w:hAnsi="Times New Roman" w:eastAsia="仿宋_GB2312" w:cs="Times New Roman"/>
          <w:sz w:val="32"/>
          <w:u w:val="none"/>
          <w:lang w:val="en-US" w:eastAsia="zh-CN"/>
        </w:rPr>
        <w:t>软件的信息技术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应用创新，确保信息系统和基础设施安全可靠运行。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u w:val="none"/>
          <w:lang w:val="en-US" w:eastAsia="zh-CN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（一）加强组织领导。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级</w:t>
      </w:r>
      <w:r>
        <w:rPr>
          <w:rFonts w:hint="eastAsia" w:eastAsia="仿宋_GB2312" w:cs="Times New Roman"/>
          <w:b w:val="0"/>
          <w:bCs w:val="0"/>
          <w:sz w:val="32"/>
          <w:u w:val="none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政府要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加强统筹领导，健全部门协同机制，形成工作合力，深入推进卫生健康领域设备设施迭代升级工作。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各级卫生健康行政部门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组建工作专班、制订工作方案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明确工作职责，加强摸底规划，统筹盘活资源，确保工作扎实有效。各级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医疗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卫生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机构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积极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落实主体责任，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推进装备和信息化设施更新迭代升级，推动病房改造提升，更好地满足群众医疗服务需求。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（二）加强政策支持。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谋划储备一批医疗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装备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更新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、病房改造、信息化设施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升级等重大项目，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提升项目成熟度，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积极争取中央预算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投资、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政府专项债券、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超长期特别国债等资金支持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引导金融机构加强对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卫生健康领域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设备更新的支持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落实国家对医疗装备设备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税收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优惠支持政策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b w:val="0"/>
          <w:bCs w:val="0"/>
          <w:sz w:val="32"/>
          <w:u w:val="none"/>
          <w:lang w:val="en-US" w:eastAsia="zh-CN"/>
        </w:rPr>
        <w:t>（三）加强督导评价。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u w:val="none"/>
          <w:lang w:val="en-US" w:eastAsia="zh-CN"/>
        </w:rPr>
        <w:t>各地各单位要聚焦群众反映强烈的关键环节实行集中攻坚，紧盯任务计</w:t>
      </w:r>
      <w:r>
        <w:rPr>
          <w:rFonts w:hint="default" w:ascii="Times New Roman" w:hAnsi="Times New Roman" w:eastAsia="仿宋_GB2312" w:cs="Times New Roman"/>
          <w:sz w:val="32"/>
          <w:u w:val="none"/>
          <w:lang w:val="en-US" w:eastAsia="zh-CN"/>
        </w:rPr>
        <w:t>划加大工作力度，推进各项更新和改造任务扎实落地。强化资金全过程、全链条、全方位监管，提高资金使用的有效性和精准性。省卫生健康委将定期组织督导和评价。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51B4B"/>
    <w:rsid w:val="3B85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2024-04-21T15:14:00Z</dcterms:created>
  <dc:creator>chenjia</dc:creator>
  <cp:lastModifiedBy>chenjia</cp:lastModifiedBy>
  <dcterms:modified xsi:type="dcterms:W3CDTF">2024-04-21T15:14:32Z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