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000000"/>
          <w:kern w:val="0"/>
          <w:sz w:val="36"/>
          <w:szCs w:val="36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000000"/>
          <w:kern w:val="0"/>
          <w:sz w:val="36"/>
          <w:szCs w:val="36"/>
          <w:highlight w:val="none"/>
          <w:u w:val="none"/>
          <w:shd w:val="clear" w:color="auto" w:fill="FFFFFF"/>
          <w:lang w:val="en-US" w:eastAsia="zh-CN" w:bidi="ar"/>
        </w:rPr>
        <w:t>采集临床数据专业目录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57"/>
        <w:gridCol w:w="2565"/>
        <w:gridCol w:w="3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临床数据提取系统内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对应我省评审专业名称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心血管内科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心血管内科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呼吸内科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消化内科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消化内科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肾内科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神经内科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内分泌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血液病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传染病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风湿病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普通外科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骨外科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骨外科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胸心外科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胸心外科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神经外科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泌尿外科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烧伤外科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烧伤外科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整形外科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整形外科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小儿外科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小儿外科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妇产科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妇产科、妇科（含妇科肿瘤）、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产科、生殖医学（含遗传咨询）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小儿内科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小儿内科、新生儿科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口腔医学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口腔颌面外科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口腔颌面外科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口腔修复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口腔正畸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口腔正畸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眼科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耳鼻喉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头颈外科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皮肤与性病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肿瘤内科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肿瘤内科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肿瘤外科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肿瘤外科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放射肿瘤治疗学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康复医学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护理学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护理学、助产学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结核病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结核病学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老年医学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老年病学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职业病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职业病学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计划生育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计划生育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精神病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精神病学（含心理卫生）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全科医学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全科医学（临床类别）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中西医结合医学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56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33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按摩推拿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中医五官科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中医治未病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中医治未病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全科医学（中医类别）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全科医学（中医类别）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在《申报人员信息自然表》中的“申报专业”栏填写本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目录中的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临床数据提取系统内专业名称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”列对应的专业名称。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本目录以外的评审专业暂不需采集技术能力维度的评价指标数</w:t>
      </w:r>
    </w:p>
    <w:p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据。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51FEF"/>
    <w:rsid w:val="4F4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5"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2024-03-13T09:05:00Z</dcterms:created>
  <dc:creator>chenjia</dc:creator>
  <cp:lastModifiedBy>chenjia</cp:lastModifiedBy>
  <dcterms:modified xsi:type="dcterms:W3CDTF">2024-03-13T09:05:50Z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