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1283" w:rightChars="611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  <w:highlight w:val="none"/>
          <w:lang w:val="en-US" w:eastAsia="zh-CN"/>
        </w:rPr>
        <w:t>广东省经批准设置人类精子库的机构名单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（截至202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188"/>
        <w:gridCol w:w="1021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w w:val="100"/>
                <w:sz w:val="28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highlight w:val="none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highlight w:val="none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  <w:highlight w:val="none"/>
              </w:rPr>
              <w:t>医院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0001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</w:p>
    <w:p/>
    <w:sectPr>
      <w:pgSz w:w="11906" w:h="16838"/>
      <w:pgMar w:top="2041" w:right="1800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g4OGM5ZWRmY2M1YzZkYjFkZWFmN2MzNTc1NjIifQ=="/>
  </w:docVars>
  <w:rsids>
    <w:rsidRoot w:val="49023BC5"/>
    <w:rsid w:val="3F63690D"/>
    <w:rsid w:val="4902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2024-01-26T01:30:00Z</dcterms:created>
  <dc:creator>Y-ING</dc:creator>
  <cp:lastModifiedBy>Y-ING</cp:lastModifiedBy>
  <dcterms:modified xsi:type="dcterms:W3CDTF">2024-01-26T01:33:26Z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4EF09F064363486E9AC807EAECB238EC_13</vt:lpwstr>
  </property>
</Properties>
</file>