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52"/>
        </w:tabs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23</w:t>
      </w:r>
    </w:p>
    <w:p>
      <w:pPr>
        <w:tabs>
          <w:tab w:val="left" w:pos="2652"/>
        </w:tabs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700" w:lineRule="exact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24"/>
          <w:lang w:eastAsia="zh-CN"/>
        </w:rPr>
        <w:t>职业病诊断鉴定终止通知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24"/>
        </w:rPr>
        <w:t>书</w:t>
      </w: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劳动者/用人单位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 xml:space="preserve">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您（单位）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向我办申请对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进行职业病诊断鉴定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我办已受理。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现因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（填写撤销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申请的原因），根据《广东省卫生健康委员会职业病诊断鉴定管理规定》的相关规定，经研究，决定终止本例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程序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 xml:space="preserve">    特此通知。               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职业病诊断鉴定办公室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日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注：本通知一式三份，一份交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对象，一份交用人单位，一份由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职业病诊断鉴定办事机构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存档。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34A740F5"/>
    <w:rsid w:val="2A902C86"/>
    <w:rsid w:val="34A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2024-01-24T07:51:00Z</dcterms:created>
  <dc:creator>AdminStart</dc:creator>
  <cp:lastModifiedBy>AdminStart</cp:lastModifiedBy>
  <dcterms:modified xsi:type="dcterms:W3CDTF">2024-01-24T07:51:36Z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DEC12DEA52564798AEF8A580D4EBA061_11</vt:lpwstr>
  </property>
</Properties>
</file>