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表2</w:t>
      </w:r>
    </w:p>
    <w:p>
      <w:pPr>
        <w:spacing w:before="63" w:beforeLines="20" w:after="157" w:afterLines="50" w:line="560" w:lineRule="exact"/>
        <w:jc w:val="center"/>
        <w:outlineLvl w:val="0"/>
        <w:rPr>
          <w:rFonts w:ascii="Times New Roman" w:hAnsi="Times New Roman" w:eastAsia="方正小标宋简体" w:cs="Times New Roman"/>
          <w:bCs/>
          <w:sz w:val="36"/>
          <w:szCs w:val="36"/>
        </w:rPr>
      </w:pPr>
      <w:bookmarkStart w:id="0" w:name="_Toc31338_WPSOffice_Level1"/>
      <w:r>
        <w:rPr>
          <w:rFonts w:ascii="Times New Roman" w:hAnsi="Times New Roman" w:eastAsia="方正小标宋简体" w:cs="Times New Roman"/>
          <w:bCs/>
          <w:sz w:val="36"/>
          <w:szCs w:val="36"/>
        </w:rPr>
        <w:t>广东省非免疫规划疫苗接种方案（2024年版）修订内容列表</w:t>
      </w:r>
      <w:bookmarkEnd w:id="0"/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275"/>
        <w:gridCol w:w="4987"/>
        <w:gridCol w:w="5393"/>
        <w:gridCol w:w="17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tblHeader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bidi="ar"/>
              </w:rPr>
              <w:t>涉及内容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bidi="ar"/>
              </w:rPr>
              <w:t>2023年版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bidi="ar"/>
              </w:rPr>
              <w:t>2024</w:t>
            </w:r>
            <w:r>
              <w:rPr>
                <w:rStyle w:val="7"/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lang w:bidi="ar"/>
              </w:rPr>
              <w:t>年版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bidi="ar"/>
              </w:rPr>
              <w:t>修订依据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 w:bidi="ar"/>
              </w:rPr>
            </w:pPr>
            <w:bookmarkStart w:id="1" w:name="_GoBack"/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乙肝疫苗（正文部分）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3.免疫程序：按照0、1、6个月接种3剂。 高风险人群接种第3剂乙型肝炎疫苗后1~2个月进行HBsAg和抗-HBs检测，若发现HBsAg阴性、抗-HBs＜10mIU/ml，按照0、1、6月免疫程序再接种3剂乙型肝炎疫苗，或可接种1剂60µg乙型肝炎疫苗（仅限16岁及以上乙型肝炎易感者，若接种1~2个月后经采血确认其抗-HBs仍然＜10mIU/ml，再考虑接种第2剂，两剂间隔至少4周）。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3.免疫程序：按照0、1、6个月接种3剂10µg或20µg乙型肝炎疫苗。 高风险人群接种第3剂乙型肝炎疫苗后1~2个月进行HBsAg和抗-HBs检测，若发现HBsAg阴性、抗-HBs阴性或＜10mIU/ml，可按照0、1、6月免疫程序再接种3剂10µg或20µg乙型肝炎疫苗。其中16岁及以上乙型肝炎易感者，也可选择再接种1剂60µg乙型肝炎疫苗，若接种1剂60µg乙型肝炎疫苗1~2个月后经采血确认其抗-HBs仍然阴性或＜10mIU/ml，可考虑接种第2剂60µg乙型肝炎疫苗，两剂间隔至少4周。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完善描述</w:t>
            </w:r>
          </w:p>
        </w:tc>
      </w:tr>
      <w:bookmarkEnd w:id="1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乙肝疫苗（附表部分）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按照0、1、6个月接种3剂，60微克重组乙肝疫苗16岁以上接种1剂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按照0、1、6个月接种3剂10µg或20µg。高风险人群接种3剂后若无应答再接种3剂，或可接种1剂60µg（16岁及以上）。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保持表格和正文的描述一致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13价肺炎球菌多糖结合疫苗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（2）推荐接种人群：①13价肺炎球菌多糖结合疫苗（CRM197载体）：6周龄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~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15月龄婴幼儿。②13价肺炎球菌多糖结合疫苗（TT载体）和13价肺炎球菌多糖结合疫苗（TT/DT载体）:6周龄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~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5岁儿童。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（3）免疫程序：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①13价肺炎球菌多糖结合疫苗（CRM197载体）。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按2、4、6月龄进行基础免疫，12月龄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~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15月龄加强免疫。基础免疫首剂最早可在6周龄接种，各剂间隔4周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~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8周。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6月龄以内已开始接种，但未完成3剂基础免疫的婴儿，可在12月龄内完成，基础免疫各剂至少间隔4周，加强免疫与基础免疫最后1剂至少间隔8周。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7月龄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~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11月龄尚未接种过该疫苗的婴儿可接种2剂，间隔至少4周；第3剂在12月龄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~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15月龄接种，第3剂与第2剂间隔至少8周。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t>（2）推荐接种人群：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6周龄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~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5岁儿童。</w:t>
            </w:r>
            <w:r>
              <w:rPr>
                <w:rStyle w:val="8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t>（3）免疫程序：</w:t>
            </w:r>
            <w:r>
              <w:rPr>
                <w:rStyle w:val="8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t>①13价肺炎球菌多糖结合疫苗（CRM197载体）。</w:t>
            </w:r>
            <w:r>
              <w:rPr>
                <w:rStyle w:val="8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6周龄至6月龄：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推荐常规免疫程序，共接种4剂。基础免疫在2、4、6月龄各接种1剂，加强免疫在12月龄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~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15月龄接种1剂。基础免疫首剂最早可在6周龄接种，之后各剂间隔1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~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2个月。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7至11月龄：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共接种3剂。首剂与第二剂间隔至少1个月。建议在出生后第二年（满12月龄以后）接种第3剂，与第2剂间隔至少2个月。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12至23月龄：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共接种2剂。接种间隔至少2个月。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2至5岁：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接种1剂。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"/>
              </w:rPr>
              <w:t>新修订的疫苗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说明书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流感疫苗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推荐接种人群：适用于6月龄（或36月龄）及以上人群。推荐优先接种人群：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（1）医务人员，包括临床救治人员、公共卫生人员、卫生检疫人员等；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（2）大型活动参加人员和保障人员；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（3）养老机构、长期护理机构、福利院等人群聚集场所脆弱人群及员工；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（4）重点场所人群，如托幼机构、中小学校的教师和学生，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监管场所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机构的在押人员及工作人员等；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（5）其他流感高风险人群，包括60岁及以上的居家老年人、6月龄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~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5岁儿童、特定慢性病患者、6月龄以下婴儿的家庭成员和看护人员、孕妇（减毒活疫苗除外）或准备在流感季节怀孕的女性。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3.免疫程序：每年接种，按疫苗说明书接种1剂或2剂。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2.推荐接种人群：适用于6月龄（或36月龄）及以上人群。推荐优先接种人群：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（1）医务人员，包括临床救治人员、公共卫生人员、卫生检疫人员等；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（2）60岁及以上的老年人；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（3）罹患一种或多种慢性病者；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（4）养老机构、长期护理机构、福利院等人群聚集场所脆弱人群及员工；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（5）孕妇；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（6）6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~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59月龄的儿童；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（7）6月龄以下婴儿的家庭成员和看护人员；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（8）重点场所人群，如托幼机构、中小学校的教师和学生，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监管场所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机构的在押人员及工作人员等。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3.免疫程序：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每年接种。首次接种流感疫苗的6月龄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~</w:t>
            </w:r>
            <w:r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8岁儿童，如选择灭活疫苗需接种2剂次（2剂次选择同一剂型的疫苗，间隔≥4周），如选择减毒活疫苗仅需接种1剂次；其他情形每年接种1剂次。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《中国流感疫苗预防接种技术指南（2023-2024）》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AC群脑膜炎球菌（结合）b型流感嗜血杆菌（结合）联合疫苗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　删除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目录已删除、已停产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肠道病毒71型灭活疫苗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2.接种人群：6月龄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~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3岁（或5岁）儿童尽早接种。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2.接种人群：6月龄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~</w:t>
            </w:r>
            <w:r>
              <w:rPr>
                <w:rStyle w:val="9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t>5岁</w:t>
            </w:r>
            <w:r>
              <w:rPr>
                <w:rStyle w:val="10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t>儿童尽早接种。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"/>
              </w:rPr>
              <w:t>新修订的疫苗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说明书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甲型乙型肝炎联合疫苗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　删除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目录已删除、已停产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人乳头瘤病毒疫苗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3.免疫程序：按照0、1、6或0、2、6个月接种3剂。现有上市的双价人乳头瘤病毒疫苗：9岁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~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14岁女性可选择采用0、6个月接种2剂。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3.免疫程序：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t>（1）双价人乳头瘤病毒吸附疫苗（杆状病毒）。</w:t>
            </w:r>
            <w:r>
              <w:rPr>
                <w:rStyle w:val="11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t>适用于9岁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~</w:t>
            </w:r>
            <w:r>
              <w:rPr>
                <w:rStyle w:val="11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t>45岁女性。按照0、1、6个月接种3剂，其中9岁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~</w:t>
            </w:r>
            <w:r>
              <w:rPr>
                <w:rStyle w:val="11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t>14岁女性可选择采用2剂次免疫程序（0、6个月分别接种1剂次）。</w:t>
            </w:r>
            <w:r>
              <w:rPr>
                <w:rStyle w:val="11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t>（2）双价人乳头瘤病毒疫苗（大肠杆菌）。</w:t>
            </w:r>
            <w:r>
              <w:rPr>
                <w:rStyle w:val="11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t>适用于9岁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u w:val="none"/>
                <w:lang w:bidi="ar"/>
              </w:rPr>
              <w:t>~</w:t>
            </w:r>
            <w:r>
              <w:rPr>
                <w:rStyle w:val="11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t>45岁女性。按照0、1、6个月接种3剂，其中9岁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~</w:t>
            </w:r>
            <w:r>
              <w:rPr>
                <w:rStyle w:val="11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t>14岁女性可选择采用2剂次免疫程序（0、6个月分别接种1剂次）。</w:t>
            </w:r>
            <w:r>
              <w:rPr>
                <w:rStyle w:val="11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t>（3）双价人乳头瘤病毒疫苗（毕赤酵母）。</w:t>
            </w:r>
            <w:r>
              <w:rPr>
                <w:rStyle w:val="11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t>适用于9岁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~</w:t>
            </w:r>
            <w:r>
              <w:rPr>
                <w:rStyle w:val="11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t>30岁女性。按照0、2、6个月接种3剂，其中9岁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~</w:t>
            </w:r>
            <w:r>
              <w:rPr>
                <w:rStyle w:val="11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t>14岁女性可选择采用2剂次免疫程序（0、6个月分别接种1剂次）。</w:t>
            </w:r>
            <w:r>
              <w:rPr>
                <w:rStyle w:val="11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t>（4）四价人乳头瘤病毒疫苗。</w:t>
            </w:r>
            <w:r>
              <w:rPr>
                <w:rStyle w:val="11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t>适用于9岁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~</w:t>
            </w:r>
            <w:r>
              <w:rPr>
                <w:rStyle w:val="11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t>45岁女性。按照0、2、6个月接种3剂。</w:t>
            </w:r>
            <w:r>
              <w:rPr>
                <w:rStyle w:val="11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t>（5）九价人乳头瘤病毒疫苗。</w:t>
            </w:r>
            <w:r>
              <w:rPr>
                <w:rStyle w:val="11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t>适用于9岁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~</w:t>
            </w:r>
            <w:r>
              <w:rPr>
                <w:rStyle w:val="11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t>45岁女性。按照0、2、6个月接种3剂。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"/>
              </w:rPr>
              <w:t>细化描述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人用狂犬病疫苗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1.被狂犬、疑似狂犬或者不能确定是否患有狂犬病的宿主动物咬伤、抓伤、舔舐粘膜或者破损皮肤处，或者开放性伤口、粘膜直接接触可能含有狂犬病病毒的唾液或者组织者，应马上进行冲洗等处理，全程接种疫苗，必要时使用狂犬病被动免疫制剂（狂犬病人免疫球蛋白、抗狂犬病血清）。</w:t>
            </w:r>
            <w:r>
              <w:rPr>
                <w:rStyle w:val="12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t>对狗猫等家养动物接种兽用狂犬病疫苗是阻断传播的根本措施。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2.狂犬病高暴露风险者：包括从事狂犬病诊疗或研究的工作人员、狂犬病疫苗生产者、兽医等。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3.再次暴露后免疫程序。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 xml:space="preserve">  全程免疫后6个月内再次暴露者一般不需要再次免疫；全程免疫后6个月到1年内再次暴露者，应当于0和3天各接种1剂疫苗；在1年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u w:val="none"/>
                <w:lang w:bidi="ar"/>
              </w:rPr>
              <w:t>~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3年内再次暴露者，应于0、3、7天各接种1剂疫苗；超过3年者应当全程接种疫苗。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4.暴露前免疫程序。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 xml:space="preserve">  0、7、21（或28）天各接种1剂。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1.被狂犬、疑似狂犬或者不能确定是否患有狂犬病的宿主动物咬伤、抓伤、舔舐粘膜或者破损皮肤处，或者开放性伤口、粘膜直接接触可能含有狂犬病病毒的唾液或者组织者，应</w:t>
            </w:r>
            <w:r>
              <w:rPr>
                <w:rStyle w:val="12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t>尽快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进行冲洗等处理，全程接种疫苗，必要时使用狂犬病被动免疫制剂（狂犬病人免疫球蛋白、抗狂犬病血清、</w:t>
            </w:r>
            <w:r>
              <w:rPr>
                <w:rStyle w:val="12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t>单克隆抗体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）。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2.狂犬病高暴露风险者：包括从事狂犬病诊疗或研究的工作人员、狂犬病疫苗生产者、兽医、</w:t>
            </w:r>
            <w:r>
              <w:rPr>
                <w:rStyle w:val="12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t>动物收容机构工作人员、接触野生动物的研究人员、猎人等。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3.再次暴露后免疫程序。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t xml:space="preserve"> 全程免疫后3个月内再次暴露者一般不需要再次免疫；全程接种后3个月及以上再次暴露者，应于0、3天各加强接种1剂次。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4.暴露前免疫程序。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0、7、21（或28）天各接种1剂。</w:t>
            </w:r>
            <w:r>
              <w:rPr>
                <w:rStyle w:val="12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t>持续暴露于狂犬病风险者，全程完成暴露前基础免疫后，在没有动物致伤的情况下，1年后加强1剂次，以后每隔3</w:t>
            </w:r>
            <w:r>
              <w:rPr>
                <w:rStyle w:val="12"/>
                <w:rFonts w:hint="default" w:ascii="Times New Roman" w:hAnsi="Times New Roman" w:cs="Times New Roman"/>
                <w:bCs/>
                <w:color w:val="auto"/>
              </w:rPr>
              <w:t>~</w:t>
            </w:r>
            <w:r>
              <w:rPr>
                <w:rStyle w:val="12"/>
                <w:rFonts w:hint="default" w:ascii="Times New Roman" w:hAnsi="Times New Roman" w:eastAsia="仿宋_GB2312" w:cs="Times New Roman"/>
                <w:bCs/>
                <w:color w:val="auto"/>
                <w:lang w:bidi="ar"/>
              </w:rPr>
              <w:t>5年加强1剂次。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狂犬病暴露预防处置工作规范（2023年版）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伤寒Vi多糖疫苗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　删除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目录已删除、已停产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重组带状疱疹疫苗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2.推荐接种人群：适用于50岁及以上人群。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3.免疫程序：接种2剂，间隔2个月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~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6个月。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将“重组带状疱疹疫苗”改为“带状疱疹疫苗”；增加带状疱疹减毒活疫苗。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2.接种人群：</w:t>
            </w:r>
            <w:r>
              <w:rPr>
                <w:rStyle w:val="13"/>
                <w:rFonts w:ascii="Times New Roman" w:hAnsi="Times New Roman" w:cs="Times New Roman"/>
                <w:bCs/>
                <w:color w:val="auto"/>
                <w:lang w:bidi="ar"/>
              </w:rPr>
              <w:t>40岁及以上人群。推荐慢性病、免疫功能低下、疲劳及精神压力大等人群接种。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3.免疫程序：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（1）重组带状疱疹疫苗。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适用于50岁及以上人群。接种2剂，间隔2个月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lang w:bidi="ar"/>
              </w:rPr>
              <w:t>~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6个月。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Style w:val="13"/>
                <w:rFonts w:ascii="Times New Roman" w:hAnsi="Times New Roman" w:cs="Times New Roman"/>
                <w:bCs/>
                <w:color w:val="auto"/>
                <w:lang w:bidi="ar"/>
              </w:rPr>
              <w:t>（2）带状疱疹减毒活疫苗。</w:t>
            </w:r>
            <w:r>
              <w:rPr>
                <w:rStyle w:val="13"/>
                <w:rFonts w:ascii="Times New Roman" w:hAnsi="Times New Roman" w:cs="Times New Roman"/>
                <w:bCs/>
                <w:color w:val="auto"/>
                <w:lang w:bidi="ar"/>
              </w:rPr>
              <w:br w:type="textWrapping"/>
            </w:r>
            <w:r>
              <w:rPr>
                <w:rStyle w:val="13"/>
                <w:rFonts w:ascii="Times New Roman" w:hAnsi="Times New Roman" w:cs="Times New Roman"/>
                <w:bCs/>
                <w:color w:val="auto"/>
                <w:lang w:bidi="ar"/>
              </w:rPr>
              <w:t>适用于40岁及以上人群。接种1剂。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带状疱疹减毒活疫苗说明书</w:t>
            </w:r>
          </w:p>
        </w:tc>
      </w:tr>
    </w:tbl>
    <w:p/>
    <w:sectPr>
      <w:pgSz w:w="16838" w:h="11906" w:orient="landscape"/>
      <w:pgMar w:top="1531" w:right="2041" w:bottom="1531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C02F52"/>
    <w:multiLevelType w:val="singleLevel"/>
    <w:tmpl w:val="ECC02F5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ZDhmMWE0ZDljYWNmYzBkOTU5M2RhMDY0NDJmMjIifQ=="/>
  </w:docVars>
  <w:rsids>
    <w:rsidRoot w:val="5C0A51CD"/>
    <w:rsid w:val="2A3967D5"/>
    <w:rsid w:val="5C0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ind w:firstLine="420" w:firstLineChars="100"/>
      <w:jc w:val="both"/>
    </w:pPr>
    <w:rPr>
      <w:rFonts w:ascii="Times New Roman" w:hAnsi="Times New Roman" w:eastAsia="仿宋_GB2312" w:cs="Times New Roman"/>
      <w:snapToGrid w:val="0"/>
      <w:kern w:val="0"/>
      <w:sz w:val="28"/>
      <w:szCs w:val="20"/>
      <w:lang w:val="en-US" w:eastAsia="zh-CN" w:bidi="ar-SA"/>
    </w:rPr>
  </w:style>
  <w:style w:type="paragraph" w:styleId="3">
    <w:name w:val="Body Text"/>
    <w:next w:val="4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28"/>
      <w:szCs w:val="20"/>
      <w:lang w:val="en-US" w:eastAsia="zh-CN" w:bidi="ar-SA"/>
    </w:rPr>
  </w:style>
  <w:style w:type="paragraph" w:styleId="4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hint="eastAsia" w:ascii="等线 Light" w:hAnsi="等线 Light" w:eastAsia="等线 Light" w:cs="Times New Roman"/>
      <w:b/>
      <w:snapToGrid w:val="0"/>
      <w:kern w:val="0"/>
      <w:sz w:val="32"/>
      <w:szCs w:val="24"/>
      <w:lang w:val="en-US" w:eastAsia="zh-CN" w:bidi="ar-SA"/>
    </w:rPr>
  </w:style>
  <w:style w:type="character" w:customStyle="1" w:styleId="7">
    <w:name w:val="font21"/>
    <w:autoRedefine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8">
    <w:name w:val="font31"/>
    <w:autoRedefine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91"/>
    <w:autoRedefine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0">
    <w:name w:val="font5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71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2">
    <w:name w:val="font81"/>
    <w:autoRedefine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3">
    <w:name w:val="font112"/>
    <w:autoRedefine/>
    <w:uiPriority w:val="0"/>
    <w:rPr>
      <w:rFonts w:hint="default" w:ascii="仿宋_GB2312" w:hAnsi="Times New Roman" w:eastAsia="仿宋_GB2312" w:cs="仿宋_GB2312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2024-01-03T01:01:00Z</dcterms:created>
  <dc:creator>Y-ING</dc:creator>
  <cp:lastModifiedBy>Y-ING</cp:lastModifiedBy>
  <dcterms:modified xsi:type="dcterms:W3CDTF">2024-01-03T01:05:48Z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EFE6803CCCAB48A99522FD51BE7216BB_11</vt:lpwstr>
  </property>
</Properties>
</file>