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snapToGrid w:val="0"/>
        <w:jc w:val="left"/>
        <w:rPr>
          <w:rFonts w:hint="default" w:ascii="Times New Roman" w:hAnsi="Times New Roman" w:eastAsia="方正小标宋简体" w:cs="Times New Roman"/>
          <w:bCs/>
          <w:color w:val="000000"/>
          <w:sz w:val="44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广东省卫生健康系统青年文明号资料汇编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评分表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（20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年修订版）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32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559"/>
        <w:gridCol w:w="1386"/>
        <w:gridCol w:w="1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考核标准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汇编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1.内容详实、主题突出：汇编内容包括申报表、总结、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2"/>
              </w:rPr>
              <w:t>创建集体成员情况表、青年文明号负责人资格证书、活动资料等，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能涵盖近两年创建活动的主要内容，清晰准确表达和再现集体工作的特色和成效。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2.结构合理、逻辑顺畅：内容表达具有层次性和连贯性；逻辑顺畅，过渡恰当。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汇编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形式</w:t>
            </w: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0" w:beforeLines="0" w:beforeAutospacing="0" w:after="0" w:afterLines="0" w:afterAutospacing="0" w:line="4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</w:rPr>
              <w:t>3.汇编PPT界面美观，布局合理，层次分明，色彩协调，风格统一；立意新颖，构思独特，设计巧妙，能体现集体特色。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合 计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100分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注：资料汇编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得分占总分6%。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61D339A9"/>
    <w:rsid w:val="61D3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740" w:lineRule="exact"/>
      <w:jc w:val="center"/>
    </w:pPr>
    <w:rPr>
      <w:rFonts w:ascii="Times New Roman" w:hAnsi="Times New Roman" w:eastAsia="方正小标宋简体" w:cs="Times New Roman"/>
      <w:kern w:val="2"/>
      <w:sz w:val="44"/>
      <w:szCs w:val="24"/>
      <w:lang w:val="en-US" w:eastAsia="zh-CN"/>
    </w:rPr>
  </w:style>
  <w:style w:type="paragraph" w:customStyle="1" w:styleId="5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262</Characters>
  <Lines>0</Lines>
  <Paragraphs>0</Paragraphs>
  <TotalTime>0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2023-07-25T09:55:00Z</dcterms:created>
  <dc:creator>西门</dc:creator>
  <cp:lastModifiedBy>西门</cp:lastModifiedBy>
  <dcterms:modified xsi:type="dcterms:W3CDTF">2023-07-25T09:55:41Z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27E17591F34F4EBEAF44C78B781F53B6_11</vt:lpwstr>
  </property>
</Properties>
</file>