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line="560" w:lineRule="exact"/>
        <w:rPr>
          <w:rFonts w:eastAsia="黑体"/>
          <w:color w:val="000000"/>
          <w:szCs w:val="32"/>
          <w:lang w:val="en-US"/>
        </w:rPr>
      </w:pPr>
      <w:r>
        <w:rPr>
          <w:rFonts w:hint="eastAsia" w:ascii="Times New Roman" w:hAnsi="Times New Roman" w:eastAsia="黑体" w:cs="黑体"/>
          <w:color w:val="000000"/>
          <w:szCs w:val="32"/>
          <w:lang w:eastAsia="zh-CN"/>
        </w:rPr>
        <w:t>附件</w:t>
      </w:r>
      <w:r>
        <w:rPr>
          <w:rFonts w:eastAsia="黑体"/>
          <w:color w:val="000000"/>
          <w:szCs w:val="32"/>
          <w:lang w:val="en-US"/>
        </w:rPr>
        <w:t>1</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cs="Times New Roman"/>
          <w:lang w:val="en-US"/>
        </w:rPr>
      </w:pPr>
    </w:p>
    <w:p>
      <w:pPr>
        <w:keepNext w:val="0"/>
        <w:keepLines w:val="0"/>
        <w:widowControl w:val="0"/>
        <w:suppressLineNumbers w:val="0"/>
        <w:spacing w:before="0" w:beforeAutospacing="0" w:after="0" w:afterAutospacing="0" w:line="700" w:lineRule="exact"/>
        <w:ind w:left="0" w:right="0"/>
        <w:jc w:val="center"/>
        <w:rPr>
          <w:rFonts w:hint="default" w:ascii="Times New Roman" w:hAnsi="Times New Roman" w:eastAsia="方正小标宋简体" w:cs="Times New Roman"/>
          <w:bCs/>
          <w:sz w:val="44"/>
          <w:szCs w:val="44"/>
          <w:lang w:val="en-US"/>
        </w:rPr>
      </w:pPr>
      <w:bookmarkStart w:id="14" w:name="_GoBack"/>
      <w:r>
        <w:rPr>
          <w:rFonts w:hint="eastAsia" w:ascii="Times New Roman" w:hAnsi="Times New Roman" w:eastAsia="方正小标宋简体" w:cs="方正小标宋简体"/>
          <w:bCs/>
          <w:kern w:val="2"/>
          <w:sz w:val="44"/>
          <w:szCs w:val="44"/>
          <w:lang w:val="en-US" w:eastAsia="zh-CN" w:bidi="ar"/>
        </w:rPr>
        <w:t>微生物食品营养与安全科技创新平台建设方案</w:t>
      </w:r>
    </w:p>
    <w:bookmarkEnd w:id="14"/>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szCs w:val="32"/>
          <w:lang w:val="en-US"/>
        </w:rPr>
      </w:pPr>
      <w:bookmarkStart w:id="0" w:name="_Toc139018321"/>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一、平台建设重要性</w:t>
      </w:r>
      <w:bookmarkEnd w:id="0"/>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习近平总书记在</w:t>
      </w:r>
      <w:r>
        <w:rPr>
          <w:rFonts w:hint="default" w:ascii="Times New Roman" w:hAnsi="Times New Roman" w:eastAsia="仿宋_GB2312" w:cs="Times New Roman"/>
          <w:kern w:val="2"/>
          <w:sz w:val="32"/>
          <w:szCs w:val="32"/>
          <w:lang w:val="en-US" w:eastAsia="zh-CN" w:bidi="ar"/>
        </w:rPr>
        <w:t>2022</w:t>
      </w:r>
      <w:r>
        <w:rPr>
          <w:rFonts w:hint="eastAsia" w:ascii="Times New Roman" w:hAnsi="Times New Roman" w:eastAsia="仿宋_GB2312" w:cs="仿宋_GB2312"/>
          <w:kern w:val="2"/>
          <w:sz w:val="32"/>
          <w:szCs w:val="32"/>
          <w:lang w:val="en-US" w:eastAsia="zh-CN" w:bidi="ar"/>
        </w:rPr>
        <w:t>年两会期间</w:t>
      </w:r>
      <w:r>
        <w:rPr>
          <w:rFonts w:hint="eastAsia" w:ascii="仿宋_GB2312" w:hAnsi="仿宋_GB2312" w:eastAsia="仿宋_GB2312" w:cs="仿宋_GB2312"/>
          <w:kern w:val="2"/>
          <w:sz w:val="32"/>
          <w:szCs w:val="32"/>
          <w:lang w:val="en-US" w:eastAsia="zh-CN" w:bidi="ar"/>
        </w:rPr>
        <w:t>强调，要</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向森林、向江河湖海、向设施农业要食物</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发展生物科技、生物产业，向植物动物微生物要热量、要蛋白</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。食品营养与安全是世界各国重点攻关、抢占前沿高地的关键领域，也是民生、民安、民康的重要基础保障。树立</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大食物观</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具有重要的长远和现实意义。《国民营养计划（</w:t>
      </w:r>
      <w:r>
        <w:rPr>
          <w:rFonts w:hint="default" w:ascii="Times New Roman" w:hAnsi="Times New Roman" w:eastAsia="仿宋_GB2312" w:cs="Times New Roman"/>
          <w:kern w:val="2"/>
          <w:sz w:val="32"/>
          <w:szCs w:val="32"/>
          <w:lang w:val="en-US" w:eastAsia="zh-CN" w:bidi="ar"/>
        </w:rPr>
        <w:t>2017—2030</w:t>
      </w:r>
      <w:r>
        <w:rPr>
          <w:rFonts w:hint="eastAsia" w:ascii="Times New Roman" w:hAnsi="Times New Roman" w:eastAsia="仿宋_GB2312" w:cs="仿宋_GB2312"/>
          <w:kern w:val="2"/>
          <w:sz w:val="32"/>
          <w:szCs w:val="32"/>
          <w:lang w:val="en-US" w:eastAsia="zh-CN" w:bidi="ar"/>
        </w:rPr>
        <w:t>年）》指出，我国人民生活水平不断提高，营养供给能力显著增强，国民营养健康状况明显改善。但仍面临居民营养不足与过剩并存、营养相关疾病多发、营养健康生活方式尚未普及等问题，成为影响国民健康的重要因素。</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全球微生物资源丰富，开发潜力巨大。食用菌的生产成本极低，在构建合理、健康的现代社会膳食结构，实现精准营养和慢病防控中具有非常重要的作用。</w:t>
      </w:r>
      <w:bookmarkStart w:id="1" w:name="_Toc139018323"/>
      <w:r>
        <w:rPr>
          <w:rFonts w:hint="eastAsia" w:ascii="Times New Roman" w:hAnsi="Times New Roman" w:eastAsia="仿宋_GB2312" w:cs="仿宋_GB2312"/>
          <w:kern w:val="2"/>
          <w:sz w:val="32"/>
          <w:szCs w:val="32"/>
          <w:lang w:val="en-US" w:eastAsia="zh-CN" w:bidi="ar"/>
        </w:rPr>
        <w:t>但我国微生物食品整体起步晚，存在诸如</w:t>
      </w:r>
      <w:bookmarkEnd w:id="1"/>
      <w:r>
        <w:rPr>
          <w:rFonts w:hint="eastAsia" w:ascii="Times New Roman" w:hAnsi="Times New Roman" w:eastAsia="仿宋_GB2312" w:cs="仿宋_GB2312"/>
          <w:kern w:val="2"/>
          <w:sz w:val="32"/>
          <w:szCs w:val="32"/>
          <w:lang w:val="en-US" w:eastAsia="zh-CN" w:bidi="ar"/>
        </w:rPr>
        <w:t>缺</w:t>
      </w:r>
      <w:r>
        <w:rPr>
          <w:rFonts w:hint="eastAsia" w:ascii="Times New Roman" w:hAnsi="Times New Roman" w:eastAsia="仿宋_GB2312" w:cs="仿宋_GB2312"/>
          <w:bCs/>
          <w:kern w:val="2"/>
          <w:sz w:val="32"/>
          <w:szCs w:val="32"/>
          <w:lang w:val="en-US" w:eastAsia="zh-CN" w:bidi="ar"/>
        </w:rPr>
        <w:t>乏统一的微生物食品菌种资源库与生物信息分析大数据库</w:t>
      </w:r>
      <w:r>
        <w:rPr>
          <w:rFonts w:hint="eastAsia" w:ascii="Times New Roman" w:hAnsi="Times New Roman" w:eastAsia="宋体" w:cs="宋体"/>
          <w:bCs/>
          <w:kern w:val="2"/>
          <w:sz w:val="32"/>
          <w:szCs w:val="32"/>
          <w:lang w:val="en-US" w:eastAsia="zh-CN" w:bidi="ar"/>
        </w:rPr>
        <w:t>、</w:t>
      </w:r>
      <w:r>
        <w:rPr>
          <w:rFonts w:hint="eastAsia" w:ascii="Times New Roman" w:hAnsi="Times New Roman" w:eastAsia="仿宋_GB2312" w:cs="仿宋_GB2312"/>
          <w:bCs/>
          <w:kern w:val="2"/>
          <w:sz w:val="32"/>
          <w:szCs w:val="32"/>
          <w:lang w:val="en-US" w:eastAsia="zh-CN" w:bidi="ar"/>
        </w:rPr>
        <w:t>微生物新资源营养食品挖掘与开发利用效率低</w:t>
      </w:r>
      <w:r>
        <w:rPr>
          <w:rFonts w:hint="eastAsia" w:ascii="Times New Roman" w:hAnsi="Times New Roman" w:eastAsia="宋体" w:cs="宋体"/>
          <w:bCs/>
          <w:kern w:val="2"/>
          <w:sz w:val="32"/>
          <w:szCs w:val="32"/>
          <w:lang w:val="en-US" w:eastAsia="zh-CN" w:bidi="ar"/>
        </w:rPr>
        <w:t>、</w:t>
      </w:r>
      <w:r>
        <w:rPr>
          <w:rFonts w:hint="eastAsia" w:ascii="Times New Roman" w:hAnsi="Times New Roman" w:eastAsia="仿宋_GB2312" w:cs="仿宋_GB2312"/>
          <w:bCs/>
          <w:kern w:val="2"/>
          <w:sz w:val="32"/>
          <w:szCs w:val="32"/>
          <w:lang w:val="en-US" w:eastAsia="zh-CN" w:bidi="ar"/>
        </w:rPr>
        <w:t>微生物食品功能组分与作用机制不清</w:t>
      </w:r>
      <w:r>
        <w:rPr>
          <w:rFonts w:hint="eastAsia" w:ascii="Times New Roman" w:hAnsi="Times New Roman" w:eastAsia="宋体" w:cs="宋体"/>
          <w:bCs/>
          <w:kern w:val="2"/>
          <w:sz w:val="32"/>
          <w:szCs w:val="32"/>
          <w:lang w:val="en-US" w:eastAsia="zh-CN" w:bidi="ar"/>
        </w:rPr>
        <w:t>、</w:t>
      </w:r>
      <w:r>
        <w:rPr>
          <w:rFonts w:hint="eastAsia" w:ascii="Times New Roman" w:hAnsi="Times New Roman" w:eastAsia="仿宋_GB2312" w:cs="仿宋_GB2312"/>
          <w:bCs/>
          <w:kern w:val="2"/>
          <w:sz w:val="32"/>
          <w:szCs w:val="32"/>
          <w:lang w:val="en-US" w:eastAsia="zh-CN" w:bidi="ar"/>
        </w:rPr>
        <w:t>不同人群精准营养的微生物健康食品与理论知识匮乏</w:t>
      </w:r>
      <w:r>
        <w:rPr>
          <w:rFonts w:hint="eastAsia" w:ascii="Times New Roman" w:hAnsi="Times New Roman" w:eastAsia="宋体" w:cs="宋体"/>
          <w:bCs/>
          <w:kern w:val="2"/>
          <w:sz w:val="32"/>
          <w:szCs w:val="32"/>
          <w:lang w:val="en-US" w:eastAsia="zh-CN" w:bidi="ar"/>
        </w:rPr>
        <w:t>、</w:t>
      </w:r>
      <w:r>
        <w:rPr>
          <w:rFonts w:hint="eastAsia" w:ascii="Times New Roman" w:hAnsi="Times New Roman" w:eastAsia="仿宋_GB2312" w:cs="仿宋_GB2312"/>
          <w:bCs/>
          <w:kern w:val="2"/>
          <w:sz w:val="32"/>
          <w:szCs w:val="32"/>
          <w:lang w:val="en-US" w:eastAsia="zh-CN" w:bidi="ar"/>
        </w:rPr>
        <w:t>微生物新资源食品功能及安全性评价系统不成熟与标准制定复杂</w:t>
      </w:r>
      <w:r>
        <w:rPr>
          <w:rFonts w:hint="eastAsia" w:ascii="Times New Roman" w:hAnsi="Times New Roman" w:eastAsia="仿宋_GB2312" w:cs="仿宋_GB2312"/>
          <w:kern w:val="2"/>
          <w:sz w:val="32"/>
          <w:szCs w:val="32"/>
          <w:lang w:val="en-US" w:eastAsia="zh-CN" w:bidi="ar"/>
        </w:rPr>
        <w:t>等问题。</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基于以上现状，本平台将依托广东省科学院微生物研究所和国家微生物种业产业技术创新战略联盟，通过构建国际重要微生物样本资源库、菌种库、基因库、活性代谢物库等平台，并利用高通量功能挖掘平台，进行微生物食品菌株挖掘和安全性评价，最终与广东环凯生物科技有限公司、广东粤微生物科技有限公司深入合作实现产业化，以期为解决我国微生物资源的</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缺芯少核</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等瓶颈问题做出重要的贡献。</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黑体" w:cs="Times New Roman"/>
          <w:sz w:val="32"/>
          <w:szCs w:val="32"/>
          <w:lang w:val="en-US"/>
        </w:rPr>
      </w:pPr>
      <w:bookmarkStart w:id="2" w:name="_Toc139018325"/>
      <w:r>
        <w:rPr>
          <w:rFonts w:hint="eastAsia" w:ascii="Times New Roman" w:hAnsi="Times New Roman" w:eastAsia="黑体" w:cs="黑体"/>
          <w:kern w:val="2"/>
          <w:sz w:val="32"/>
          <w:szCs w:val="32"/>
          <w:lang w:val="en-US" w:eastAsia="zh-CN" w:bidi="ar"/>
        </w:rPr>
        <w:t>二、平台建设</w:t>
      </w:r>
      <w:bookmarkEnd w:id="2"/>
      <w:r>
        <w:rPr>
          <w:rFonts w:hint="eastAsia" w:ascii="Times New Roman" w:hAnsi="Times New Roman" w:eastAsia="黑体" w:cs="黑体"/>
          <w:kern w:val="2"/>
          <w:sz w:val="32"/>
          <w:szCs w:val="32"/>
          <w:lang w:val="en-US" w:eastAsia="zh-CN" w:bidi="ar"/>
        </w:rPr>
        <w:t>内容</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sz w:val="32"/>
          <w:szCs w:val="32"/>
          <w:lang w:val="en-US"/>
        </w:rPr>
      </w:pPr>
      <w:bookmarkStart w:id="3" w:name="_Toc139018326"/>
      <w:r>
        <w:rPr>
          <w:rFonts w:hint="eastAsia" w:ascii="Times New Roman" w:hAnsi="Times New Roman" w:eastAsia="楷体_GB2312" w:cs="楷体_GB2312"/>
          <w:kern w:val="2"/>
          <w:sz w:val="32"/>
          <w:szCs w:val="32"/>
          <w:lang w:val="en-US" w:eastAsia="zh-CN" w:bidi="ar"/>
        </w:rPr>
        <w:t>（一）研究方向与内容</w:t>
      </w:r>
      <w:bookmarkEnd w:id="3"/>
      <w:r>
        <w:rPr>
          <w:rFonts w:hint="eastAsia" w:ascii="Times New Roman" w:hAnsi="Times New Roman" w:eastAsia="楷体_GB2312" w:cs="楷体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bCs/>
          <w:sz w:val="32"/>
          <w:szCs w:val="32"/>
          <w:lang w:val="en-US"/>
        </w:rPr>
      </w:pPr>
      <w:bookmarkStart w:id="4" w:name="_Hlk133310082"/>
      <w:r>
        <w:rPr>
          <w:rFonts w:hint="default" w:ascii="Times New Roman" w:hAnsi="Times New Roman" w:eastAsia="仿宋_GB2312" w:cs="Times New Roman"/>
          <w:bCs/>
          <w:kern w:val="2"/>
          <w:sz w:val="32"/>
          <w:szCs w:val="32"/>
          <w:lang w:val="en-US" w:eastAsia="zh-CN" w:bidi="ar"/>
        </w:rPr>
        <w:t>1</w:t>
      </w:r>
      <w:r>
        <w:rPr>
          <w:rFonts w:hint="eastAsia" w:ascii="仿宋_GB2312" w:hAnsi="仿宋_GB2312" w:eastAsia="仿宋_GB2312" w:cs="仿宋_GB2312"/>
          <w:bCs/>
          <w:kern w:val="2"/>
          <w:sz w:val="32"/>
          <w:szCs w:val="32"/>
          <w:lang w:val="en-US" w:eastAsia="zh-CN" w:bidi="ar"/>
        </w:rPr>
        <w:t>.</w:t>
      </w:r>
      <w:r>
        <w:rPr>
          <w:rFonts w:hint="eastAsia" w:ascii="Times New Roman" w:hAnsi="Times New Roman" w:eastAsia="仿宋_GB2312" w:cs="仿宋_GB2312"/>
          <w:bCs/>
          <w:kern w:val="2"/>
          <w:sz w:val="32"/>
          <w:szCs w:val="32"/>
          <w:lang w:val="en-US" w:eastAsia="zh-CN" w:bidi="ar"/>
        </w:rPr>
        <w:t>微生物营养健康菌种基因与组学大数据库</w:t>
      </w:r>
      <w:bookmarkEnd w:id="4"/>
      <w:r>
        <w:rPr>
          <w:rFonts w:hint="eastAsia" w:ascii="Times New Roman" w:hAnsi="Times New Roman" w:eastAsia="仿宋_GB2312" w:cs="仿宋_GB2312"/>
          <w:bCs/>
          <w:kern w:val="2"/>
          <w:sz w:val="32"/>
          <w:szCs w:val="32"/>
          <w:lang w:val="en-US" w:eastAsia="zh-CN" w:bidi="ar"/>
        </w:rPr>
        <w:t>构建</w:t>
      </w:r>
      <w:r>
        <w:rPr>
          <w:rFonts w:hint="eastAsia" w:ascii="Times New Roman" w:hAnsi="Times New Roman" w:eastAsia="宋体" w:cs="宋体"/>
          <w:bCs/>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kern w:val="2"/>
          <w:sz w:val="32"/>
          <w:szCs w:val="32"/>
          <w:lang w:val="en-US" w:eastAsia="zh-CN" w:bidi="ar"/>
        </w:rPr>
        <w:t>2</w:t>
      </w:r>
      <w:r>
        <w:rPr>
          <w:rFonts w:hint="eastAsia" w:ascii="仿宋_GB2312" w:hAnsi="仿宋_GB2312" w:eastAsia="仿宋_GB2312" w:cs="仿宋_GB2312"/>
          <w:bCs/>
          <w:kern w:val="2"/>
          <w:sz w:val="32"/>
          <w:szCs w:val="32"/>
          <w:lang w:val="en-US" w:eastAsia="zh-CN" w:bidi="ar"/>
        </w:rPr>
        <w:t>.</w:t>
      </w:r>
      <w:r>
        <w:rPr>
          <w:rFonts w:hint="eastAsia" w:ascii="Times New Roman" w:hAnsi="Times New Roman" w:eastAsia="仿宋_GB2312" w:cs="仿宋_GB2312"/>
          <w:bCs/>
          <w:kern w:val="2"/>
          <w:sz w:val="32"/>
          <w:szCs w:val="32"/>
          <w:lang w:val="en-US" w:eastAsia="zh-CN" w:bidi="ar"/>
        </w:rPr>
        <w:t>微生物新资源营养食品挖掘、制造与功能及安全性研究</w:t>
      </w:r>
      <w:r>
        <w:rPr>
          <w:rFonts w:hint="eastAsia" w:ascii="Times New Roman" w:hAnsi="Times New Roman" w:eastAsia="宋体" w:cs="宋体"/>
          <w:bCs/>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kern w:val="2"/>
          <w:sz w:val="32"/>
          <w:szCs w:val="32"/>
          <w:lang w:val="en-US" w:eastAsia="zh-CN" w:bidi="ar"/>
        </w:rPr>
        <w:t>3</w:t>
      </w:r>
      <w:r>
        <w:rPr>
          <w:rFonts w:hint="eastAsia" w:ascii="仿宋_GB2312" w:hAnsi="仿宋_GB2312" w:eastAsia="仿宋_GB2312" w:cs="仿宋_GB2312"/>
          <w:bCs/>
          <w:kern w:val="2"/>
          <w:sz w:val="32"/>
          <w:szCs w:val="32"/>
          <w:lang w:val="en-US" w:eastAsia="zh-CN" w:bidi="ar"/>
        </w:rPr>
        <w:t>.</w:t>
      </w:r>
      <w:r>
        <w:rPr>
          <w:rFonts w:hint="eastAsia" w:ascii="Times New Roman" w:hAnsi="Times New Roman" w:eastAsia="仿宋_GB2312" w:cs="仿宋_GB2312"/>
          <w:bCs/>
          <w:kern w:val="2"/>
          <w:sz w:val="32"/>
          <w:szCs w:val="32"/>
          <w:lang w:val="en-US" w:eastAsia="zh-CN" w:bidi="ar"/>
        </w:rPr>
        <w:t>病毒组驱动的胃肠道微生物区系演化与慢病发生发展及营养干预</w:t>
      </w:r>
      <w:r>
        <w:rPr>
          <w:rFonts w:hint="eastAsia" w:ascii="Times New Roman" w:hAnsi="Times New Roman" w:eastAsia="宋体" w:cs="宋体"/>
          <w:bCs/>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kern w:val="2"/>
          <w:sz w:val="32"/>
          <w:szCs w:val="32"/>
          <w:lang w:val="en-US" w:eastAsia="zh-CN" w:bidi="ar"/>
        </w:rPr>
        <w:t>4</w:t>
      </w:r>
      <w:r>
        <w:rPr>
          <w:rFonts w:hint="eastAsia" w:ascii="仿宋_GB2312" w:hAnsi="仿宋_GB2312" w:eastAsia="仿宋_GB2312" w:cs="仿宋_GB2312"/>
          <w:bCs/>
          <w:kern w:val="2"/>
          <w:sz w:val="32"/>
          <w:szCs w:val="32"/>
          <w:lang w:val="en-US" w:eastAsia="zh-CN" w:bidi="ar"/>
        </w:rPr>
        <w:t>.</w:t>
      </w:r>
      <w:r>
        <w:rPr>
          <w:rFonts w:hint="eastAsia" w:ascii="Times New Roman" w:hAnsi="Times New Roman" w:eastAsia="仿宋_GB2312" w:cs="仿宋_GB2312"/>
          <w:bCs/>
          <w:kern w:val="2"/>
          <w:sz w:val="32"/>
          <w:szCs w:val="32"/>
          <w:lang w:val="en-US" w:eastAsia="zh-CN" w:bidi="ar"/>
        </w:rPr>
        <w:t>微生物健康食品临床营养与健康研究</w:t>
      </w:r>
      <w:r>
        <w:rPr>
          <w:rFonts w:hint="eastAsia" w:ascii="Times New Roman" w:hAnsi="Times New Roman" w:eastAsia="宋体" w:cs="宋体"/>
          <w:bCs/>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kern w:val="2"/>
          <w:sz w:val="32"/>
          <w:szCs w:val="32"/>
          <w:lang w:val="en-US" w:eastAsia="zh-CN" w:bidi="ar"/>
        </w:rPr>
        <w:t>5</w:t>
      </w:r>
      <w:r>
        <w:rPr>
          <w:rFonts w:hint="eastAsia" w:ascii="仿宋_GB2312" w:hAnsi="仿宋_GB2312" w:eastAsia="仿宋_GB2312" w:cs="仿宋_GB2312"/>
          <w:bCs/>
          <w:kern w:val="2"/>
          <w:sz w:val="32"/>
          <w:szCs w:val="32"/>
          <w:lang w:val="en-US" w:eastAsia="zh-CN" w:bidi="ar"/>
        </w:rPr>
        <w:t>.</w:t>
      </w:r>
      <w:r>
        <w:rPr>
          <w:rFonts w:hint="eastAsia" w:ascii="Times New Roman" w:hAnsi="Times New Roman" w:eastAsia="仿宋_GB2312" w:cs="仿宋_GB2312"/>
          <w:bCs/>
          <w:kern w:val="2"/>
          <w:sz w:val="32"/>
          <w:szCs w:val="32"/>
          <w:lang w:val="en-US" w:eastAsia="zh-CN" w:bidi="ar"/>
        </w:rPr>
        <w:t>微生物新资源食品功能及安全性评价与标准制订研究</w:t>
      </w:r>
      <w:r>
        <w:rPr>
          <w:rFonts w:hint="eastAsia" w:ascii="Times New Roman" w:hAnsi="Times New Roman" w:eastAsia="宋体" w:cs="宋体"/>
          <w:bCs/>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sz w:val="32"/>
          <w:szCs w:val="32"/>
          <w:lang w:val="en-US"/>
        </w:rPr>
      </w:pPr>
      <w:bookmarkStart w:id="5" w:name="_Toc139018327"/>
      <w:r>
        <w:rPr>
          <w:rFonts w:hint="eastAsia" w:ascii="Times New Roman" w:hAnsi="Times New Roman" w:eastAsia="楷体_GB2312" w:cs="楷体_GB2312"/>
          <w:kern w:val="2"/>
          <w:sz w:val="32"/>
          <w:szCs w:val="32"/>
          <w:lang w:val="en-US" w:eastAsia="zh-CN" w:bidi="ar"/>
        </w:rPr>
        <w:t>（二）建设</w:t>
      </w:r>
      <w:bookmarkEnd w:id="5"/>
      <w:r>
        <w:rPr>
          <w:rFonts w:hint="eastAsia" w:ascii="Times New Roman" w:hAnsi="Times New Roman" w:eastAsia="楷体_GB2312" w:cs="楷体_GB2312"/>
          <w:kern w:val="2"/>
          <w:sz w:val="32"/>
          <w:szCs w:val="32"/>
          <w:lang w:val="en-US" w:eastAsia="zh-CN" w:bidi="ar"/>
        </w:rPr>
        <w:t>三大中心。</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基于以上的研究方向，创新平台将依托华南应用微生物国家重点实验室、广东省微生物分析检测中心的食品药品实验室、国家微生物种业产业技术创新战略联盟菌种基因银行总行、广东环凯生物科技有限公司、广东粤微生物科技有限公司等平台作为支撑建设以下三大中心：</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kern w:val="2"/>
          <w:sz w:val="32"/>
          <w:szCs w:val="32"/>
          <w:lang w:val="en-US" w:eastAsia="zh-CN" w:bidi="ar"/>
        </w:rPr>
        <w:t>1</w:t>
      </w:r>
      <w:r>
        <w:rPr>
          <w:rFonts w:hint="eastAsia" w:ascii="仿宋_GB2312" w:hAnsi="仿宋_GB2312" w:eastAsia="仿宋_GB2312" w:cs="仿宋_GB2312"/>
          <w:bCs/>
          <w:kern w:val="2"/>
          <w:sz w:val="32"/>
          <w:szCs w:val="32"/>
          <w:lang w:val="en-US" w:eastAsia="zh-CN" w:bidi="ar"/>
        </w:rPr>
        <w:t>.</w:t>
      </w:r>
      <w:r>
        <w:rPr>
          <w:rFonts w:hint="eastAsia" w:ascii="Times New Roman" w:hAnsi="Times New Roman" w:eastAsia="仿宋_GB2312" w:cs="仿宋_GB2312"/>
          <w:bCs/>
          <w:kern w:val="2"/>
          <w:sz w:val="32"/>
          <w:szCs w:val="32"/>
          <w:lang w:val="en-US" w:eastAsia="zh-CN" w:bidi="ar"/>
        </w:rPr>
        <w:t>微生物营养健康菌种基因与组学大数据中心</w:t>
      </w:r>
      <w:r>
        <w:rPr>
          <w:rFonts w:hint="eastAsia" w:ascii="Times New Roman" w:hAnsi="Times New Roman" w:eastAsia="宋体" w:cs="宋体"/>
          <w:bCs/>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kern w:val="2"/>
          <w:sz w:val="32"/>
          <w:szCs w:val="32"/>
          <w:lang w:val="en-US" w:eastAsia="zh-CN" w:bidi="ar"/>
        </w:rPr>
        <w:t>2</w:t>
      </w:r>
      <w:r>
        <w:rPr>
          <w:rFonts w:hint="eastAsia" w:ascii="仿宋_GB2312" w:hAnsi="仿宋_GB2312" w:eastAsia="仿宋_GB2312" w:cs="仿宋_GB2312"/>
          <w:bCs/>
          <w:kern w:val="2"/>
          <w:sz w:val="32"/>
          <w:szCs w:val="32"/>
          <w:lang w:val="en-US" w:eastAsia="zh-CN" w:bidi="ar"/>
        </w:rPr>
        <w:t>.</w:t>
      </w:r>
      <w:r>
        <w:rPr>
          <w:rFonts w:hint="eastAsia" w:ascii="Times New Roman" w:hAnsi="Times New Roman" w:eastAsia="仿宋_GB2312" w:cs="仿宋_GB2312"/>
          <w:bCs/>
          <w:kern w:val="2"/>
          <w:sz w:val="32"/>
          <w:szCs w:val="32"/>
          <w:lang w:val="en-US" w:eastAsia="zh-CN" w:bidi="ar"/>
        </w:rPr>
        <w:t>功能营养挖掘与食品制造中心</w:t>
      </w:r>
      <w:r>
        <w:rPr>
          <w:rFonts w:hint="eastAsia" w:ascii="Times New Roman" w:hAnsi="Times New Roman" w:eastAsia="宋体" w:cs="宋体"/>
          <w:bCs/>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kern w:val="2"/>
          <w:sz w:val="32"/>
          <w:szCs w:val="32"/>
          <w:lang w:val="en-US" w:eastAsia="zh-CN" w:bidi="ar"/>
        </w:rPr>
        <w:t>3</w:t>
      </w:r>
      <w:r>
        <w:rPr>
          <w:rFonts w:hint="eastAsia" w:ascii="仿宋_GB2312" w:hAnsi="仿宋_GB2312" w:eastAsia="仿宋_GB2312" w:cs="仿宋_GB2312"/>
          <w:bCs/>
          <w:kern w:val="2"/>
          <w:sz w:val="32"/>
          <w:szCs w:val="32"/>
          <w:lang w:val="en-US" w:eastAsia="zh-CN" w:bidi="ar"/>
        </w:rPr>
        <w:t>.</w:t>
      </w:r>
      <w:r>
        <w:rPr>
          <w:rFonts w:hint="eastAsia" w:ascii="Times New Roman" w:hAnsi="Times New Roman" w:eastAsia="仿宋_GB2312" w:cs="仿宋_GB2312"/>
          <w:bCs/>
          <w:kern w:val="2"/>
          <w:sz w:val="32"/>
          <w:szCs w:val="32"/>
          <w:lang w:val="en-US" w:eastAsia="zh-CN" w:bidi="ar"/>
        </w:rPr>
        <w:t>微生物食品营养与安全评价中心</w:t>
      </w:r>
      <w:r>
        <w:rPr>
          <w:rFonts w:hint="eastAsia" w:ascii="Times New Roman" w:hAnsi="Times New Roman" w:eastAsia="宋体" w:cs="宋体"/>
          <w:bCs/>
          <w:kern w:val="2"/>
          <w:sz w:val="32"/>
          <w:szCs w:val="32"/>
          <w:lang w:val="en-US" w:eastAsia="zh-CN" w:bidi="ar"/>
        </w:rPr>
        <w:t>。</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黑体" w:cs="Times New Roman"/>
          <w:bCs/>
          <w:sz w:val="32"/>
          <w:szCs w:val="32"/>
          <w:lang w:val="en-US"/>
        </w:rPr>
      </w:pPr>
      <w:bookmarkStart w:id="6" w:name="_Toc139018328"/>
      <w:r>
        <w:rPr>
          <w:rFonts w:hint="eastAsia" w:ascii="Times New Roman" w:hAnsi="Times New Roman" w:eastAsia="黑体" w:cs="黑体"/>
          <w:bCs/>
          <w:kern w:val="2"/>
          <w:sz w:val="32"/>
          <w:szCs w:val="32"/>
          <w:lang w:val="en-US" w:eastAsia="zh-CN" w:bidi="ar"/>
        </w:rPr>
        <w:t>三、科研与产业化基础</w:t>
      </w:r>
      <w:bookmarkEnd w:id="6"/>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bCs/>
          <w:sz w:val="32"/>
          <w:szCs w:val="32"/>
          <w:lang w:val="en-US"/>
        </w:rPr>
      </w:pPr>
      <w:bookmarkStart w:id="7" w:name="_Toc139018329"/>
      <w:r>
        <w:rPr>
          <w:rFonts w:hint="eastAsia" w:ascii="Times New Roman" w:hAnsi="Times New Roman" w:eastAsia="楷体_GB2312" w:cs="楷体_GB2312"/>
          <w:bCs/>
          <w:kern w:val="2"/>
          <w:sz w:val="32"/>
          <w:szCs w:val="32"/>
          <w:lang w:val="en-US" w:eastAsia="zh-CN" w:bidi="ar"/>
        </w:rPr>
        <w:t>（一）平台支撑</w:t>
      </w:r>
      <w:bookmarkEnd w:id="7"/>
      <w:r>
        <w:rPr>
          <w:rFonts w:hint="eastAsia" w:ascii="Times New Roman" w:hAnsi="Times New Roman" w:eastAsia="楷体_GB2312" w:cs="楷体_GB2312"/>
          <w:bCs/>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bCs/>
          <w:color w:val="000000"/>
          <w:sz w:val="32"/>
          <w:szCs w:val="32"/>
          <w:vertAlign w:val="baseline"/>
          <w:lang w:val="en-US"/>
        </w:rPr>
      </w:pPr>
      <w:r>
        <w:rPr>
          <w:rFonts w:hint="default" w:ascii="Times New Roman" w:hAnsi="Times New Roman" w:eastAsia="仿宋_GB2312" w:cs="Times New Roman"/>
          <w:bCs/>
          <w:color w:val="000000"/>
          <w:kern w:val="2"/>
          <w:sz w:val="32"/>
          <w:szCs w:val="32"/>
          <w:vertAlign w:val="baseline"/>
          <w:lang w:val="en-US" w:eastAsia="zh-CN" w:bidi="ar"/>
        </w:rPr>
        <w:t>1</w:t>
      </w:r>
      <w:r>
        <w:rPr>
          <w:rFonts w:hint="eastAsia" w:ascii="仿宋_GB2312" w:hAnsi="仿宋_GB2312" w:eastAsia="仿宋_GB2312" w:cs="仿宋_GB2312"/>
          <w:bCs/>
          <w:kern w:val="2"/>
          <w:sz w:val="32"/>
          <w:szCs w:val="32"/>
          <w:vertAlign w:val="baseline"/>
          <w:lang w:val="en-US" w:eastAsia="zh-CN" w:bidi="ar"/>
        </w:rPr>
        <w:t>.</w:t>
      </w:r>
      <w:r>
        <w:rPr>
          <w:rFonts w:hint="eastAsia" w:ascii="Times New Roman" w:hAnsi="Times New Roman" w:eastAsia="仿宋_GB2312" w:cs="仿宋_GB2312"/>
          <w:bCs/>
          <w:color w:val="000000"/>
          <w:kern w:val="2"/>
          <w:sz w:val="32"/>
          <w:szCs w:val="32"/>
          <w:vertAlign w:val="baseline"/>
          <w:lang w:val="en-US" w:eastAsia="zh-CN" w:bidi="ar"/>
        </w:rPr>
        <w:t>广东省科学院微生物研究所（广东省微生物分析检测中心）</w:t>
      </w:r>
      <w:r>
        <w:rPr>
          <w:rFonts w:hint="eastAsia" w:ascii="Times New Roman" w:hAnsi="Times New Roman" w:eastAsia="宋体" w:cs="宋体"/>
          <w:bCs/>
          <w:color w:val="000000"/>
          <w:kern w:val="2"/>
          <w:sz w:val="32"/>
          <w:szCs w:val="32"/>
          <w:vertAlign w:val="baseline"/>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研究所前身为中科院中南真菌研究室，隶属于广东省科学院。依托研究所建成了华南应用微生物国家重点实验室、国家专利菌种保藏机构</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广东省微生物菌种保藏中心、国家广州化学品生态环境安全评价服务中心、国家生物产业基地公共实验中心、农业农村部农业微生物组学与精准应用重点实验室、广东省菌种保藏与应用重点实验室、广东省微生物安全与健康重点实验室、广东省微生物应用新技术公共实验室、广东国家地理标志农产品产地生态系统微生物科学观测研究站、广东省微生物芯片工程技术研究中心、广东省环境微生物工程技术研究中心、广东省抗微生物材料与抗菌检测工程技术研究中心、广东省微生物资源工程技术研究中心、广东省饮用水安全应急技术研究中心以及华南地区最大（全国第二大）的大型真菌标本馆等一大批国家和省部级科技创新平台。</w:t>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bCs/>
          <w:kern w:val="2"/>
          <w:sz w:val="32"/>
          <w:szCs w:val="32"/>
          <w:lang w:val="en-US" w:eastAsia="zh-CN" w:bidi="ar"/>
        </w:rPr>
        <w:t>广东省微生物分析检测中心（简称广微测）隶属于广东省科</w:t>
      </w:r>
      <w:r>
        <w:rPr>
          <w:rFonts w:hint="eastAsia" w:ascii="Times New Roman" w:hAnsi="Times New Roman" w:eastAsia="仿宋_GB2312" w:cs="仿宋_GB2312"/>
          <w:kern w:val="2"/>
          <w:sz w:val="32"/>
          <w:szCs w:val="32"/>
          <w:lang w:val="en-US" w:eastAsia="zh-CN" w:bidi="ar"/>
        </w:rPr>
        <w:t>学院微生物研究所，</w:t>
      </w:r>
      <w:r>
        <w:rPr>
          <w:rFonts w:hint="default" w:ascii="Times New Roman" w:hAnsi="Times New Roman" w:eastAsia="仿宋_GB2312" w:cs="Times New Roman"/>
          <w:kern w:val="2"/>
          <w:sz w:val="32"/>
          <w:szCs w:val="32"/>
          <w:lang w:val="en-US" w:eastAsia="zh-CN" w:bidi="ar"/>
        </w:rPr>
        <w:t>2004</w:t>
      </w:r>
      <w:r>
        <w:rPr>
          <w:rFonts w:hint="eastAsia" w:ascii="Times New Roman" w:hAnsi="Times New Roman" w:eastAsia="仿宋_GB2312" w:cs="仿宋_GB2312"/>
          <w:kern w:val="2"/>
          <w:sz w:val="32"/>
          <w:szCs w:val="32"/>
          <w:lang w:val="en-US" w:eastAsia="zh-CN" w:bidi="ar"/>
        </w:rPr>
        <w:t>年通过中国实验室国家认可委员会（</w:t>
      </w:r>
      <w:r>
        <w:rPr>
          <w:rFonts w:hint="default" w:ascii="Times New Roman" w:hAnsi="Times New Roman" w:eastAsia="仿宋_GB2312" w:cs="Times New Roman"/>
          <w:kern w:val="2"/>
          <w:sz w:val="32"/>
          <w:szCs w:val="32"/>
          <w:lang w:val="en-US" w:eastAsia="zh-CN" w:bidi="ar"/>
        </w:rPr>
        <w:t>CNAL</w:t>
      </w:r>
      <w:r>
        <w:rPr>
          <w:rFonts w:hint="eastAsia" w:ascii="Times New Roman" w:hAnsi="Times New Roman" w:eastAsia="仿宋_GB2312" w:cs="仿宋_GB2312"/>
          <w:kern w:val="2"/>
          <w:sz w:val="32"/>
          <w:szCs w:val="32"/>
          <w:lang w:val="en-US" w:eastAsia="zh-CN" w:bidi="ar"/>
        </w:rPr>
        <w:t>）认可，检测数据可获得国际互认，成为可为社会提供用于贸易出证、产品质量评价、成果鉴定的公证数据的合法检测机构，具有法律效力。广微测现为国家认监委认可的符合良好实验室规范（</w:t>
      </w:r>
      <w:r>
        <w:rPr>
          <w:rFonts w:hint="default" w:ascii="Times New Roman" w:hAnsi="Times New Roman" w:eastAsia="仿宋_GB2312" w:cs="Times New Roman"/>
          <w:kern w:val="2"/>
          <w:sz w:val="32"/>
          <w:szCs w:val="32"/>
          <w:lang w:val="en-US" w:eastAsia="zh-CN" w:bidi="ar"/>
        </w:rPr>
        <w:t>GLP</w:t>
      </w:r>
      <w:r>
        <w:rPr>
          <w:rFonts w:hint="eastAsia" w:ascii="Times New Roman" w:hAnsi="Times New Roman" w:eastAsia="仿宋_GB2312" w:cs="仿宋_GB2312"/>
          <w:kern w:val="2"/>
          <w:sz w:val="32"/>
          <w:szCs w:val="32"/>
          <w:lang w:val="en-US" w:eastAsia="zh-CN" w:bidi="ar"/>
        </w:rPr>
        <w:t>）原则的实验室、广东省质量技术监督局批准的食品检验机构、广东省农业厅批准的农产品质量安全检测机构、广东省食品药品监督管理局指定的国产非特殊用途化妆品备案检验机构、广东省质量监督食用菌检验站的依托单位。下设食品药品、工业材料与产品、生态毒理与环境安全和农用生物产品等四个实验室。</w:t>
      </w:r>
    </w:p>
    <w:p>
      <w:pPr>
        <w:keepNext w:val="0"/>
        <w:keepLines w:val="0"/>
        <w:widowControl w:val="0"/>
        <w:suppressLineNumbers w:val="0"/>
        <w:spacing w:before="0" w:beforeAutospacing="0" w:after="0" w:afterAutospacing="0" w:line="560" w:lineRule="exact"/>
        <w:ind w:left="0" w:right="0" w:firstLine="643" w:firstLineChars="200"/>
        <w:jc w:val="both"/>
        <w:textAlignment w:val="baseline"/>
        <w:rPr>
          <w:rFonts w:hint="default" w:ascii="Times New Roman" w:hAnsi="Times New Roman" w:eastAsia="仿宋_GB2312" w:cs="Times New Roman"/>
          <w:b/>
          <w:bCs w:val="0"/>
          <w:color w:val="000000"/>
          <w:sz w:val="32"/>
          <w:szCs w:val="32"/>
          <w:vertAlign w:val="baseline"/>
          <w:lang w:val="en-US"/>
        </w:rPr>
      </w:pPr>
      <w:r>
        <w:rPr>
          <w:rFonts w:hint="default" w:ascii="Times New Roman" w:hAnsi="Times New Roman" w:eastAsia="仿宋_GB2312" w:cs="Times New Roman"/>
          <w:b/>
          <w:bCs w:val="0"/>
          <w:color w:val="000000"/>
          <w:kern w:val="2"/>
          <w:sz w:val="32"/>
          <w:szCs w:val="32"/>
          <w:vertAlign w:val="baseline"/>
          <w:lang w:val="en-US" w:eastAsia="zh-CN" w:bidi="ar"/>
        </w:rPr>
        <w:t>2</w:t>
      </w:r>
      <w:r>
        <w:rPr>
          <w:rFonts w:hint="eastAsia" w:ascii="仿宋_GB2312" w:hAnsi="仿宋_GB2312" w:eastAsia="仿宋_GB2312" w:cs="仿宋_GB2312"/>
          <w:b/>
          <w:bCs w:val="0"/>
          <w:kern w:val="2"/>
          <w:sz w:val="32"/>
          <w:szCs w:val="32"/>
          <w:vertAlign w:val="baseline"/>
          <w:lang w:val="en-US" w:eastAsia="zh-CN" w:bidi="ar"/>
        </w:rPr>
        <w:t>.</w:t>
      </w:r>
      <w:r>
        <w:rPr>
          <w:rFonts w:hint="eastAsia" w:ascii="Times New Roman" w:hAnsi="Times New Roman" w:eastAsia="仿宋_GB2312" w:cs="仿宋_GB2312"/>
          <w:b/>
          <w:bCs w:val="0"/>
          <w:color w:val="000000"/>
          <w:kern w:val="2"/>
          <w:sz w:val="32"/>
          <w:szCs w:val="32"/>
          <w:vertAlign w:val="baseline"/>
          <w:lang w:val="en-US" w:eastAsia="zh-CN" w:bidi="ar"/>
        </w:rPr>
        <w:t>院士领衔的多领域综合研究团队</w:t>
      </w:r>
      <w:r>
        <w:rPr>
          <w:rFonts w:hint="eastAsia" w:ascii="Times New Roman" w:hAnsi="Times New Roman" w:eastAsia="宋体" w:cs="宋体"/>
          <w:b/>
          <w:bCs w:val="0"/>
          <w:color w:val="000000"/>
          <w:kern w:val="2"/>
          <w:sz w:val="32"/>
          <w:szCs w:val="32"/>
          <w:vertAlign w:val="baseline"/>
          <w:lang w:val="en-US" w:eastAsia="zh-CN" w:bidi="ar"/>
        </w:rPr>
        <w:t>。</w:t>
      </w:r>
    </w:p>
    <w:p>
      <w:pPr>
        <w:keepNext w:val="0"/>
        <w:keepLines w:val="0"/>
        <w:widowControl/>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依托团队是国内食用菌研究和开发的领军科研团队，拥有丰富的菌种资源及雄厚的产品研发实力。拟建创新平台负责人与学术带头人是</w:t>
      </w:r>
      <w:r>
        <w:rPr>
          <w:rFonts w:hint="eastAsia" w:ascii="Times New Roman" w:hAnsi="Times New Roman" w:eastAsia="仿宋_GB2312" w:cs="仿宋_GB2312"/>
          <w:b/>
          <w:bCs w:val="0"/>
          <w:kern w:val="2"/>
          <w:sz w:val="32"/>
          <w:szCs w:val="32"/>
          <w:lang w:val="en-US" w:eastAsia="zh-CN" w:bidi="ar"/>
        </w:rPr>
        <w:t>吴清平</w:t>
      </w:r>
      <w:r>
        <w:rPr>
          <w:rFonts w:hint="eastAsia" w:ascii="Times New Roman" w:hAnsi="Times New Roman" w:eastAsia="仿宋_GB2312" w:cs="仿宋_GB2312"/>
          <w:kern w:val="2"/>
          <w:sz w:val="32"/>
          <w:szCs w:val="32"/>
          <w:lang w:val="en-US" w:eastAsia="zh-CN" w:bidi="ar"/>
        </w:rPr>
        <w:t>研究员，</w:t>
      </w:r>
      <w:r>
        <w:rPr>
          <w:rFonts w:hint="eastAsia" w:ascii="Times New Roman" w:hAnsi="Times New Roman" w:eastAsia="仿宋_GB2312" w:cs="仿宋_GB2312"/>
          <w:b/>
          <w:bCs w:val="0"/>
          <w:kern w:val="2"/>
          <w:sz w:val="32"/>
          <w:szCs w:val="32"/>
          <w:lang w:val="en-US" w:eastAsia="zh-CN" w:bidi="ar"/>
        </w:rPr>
        <w:t>中国工程院院士</w:t>
      </w:r>
      <w:r>
        <w:rPr>
          <w:rFonts w:hint="eastAsia" w:ascii="Times New Roman" w:hAnsi="Times New Roman" w:eastAsia="仿宋_GB2312" w:cs="仿宋_GB2312"/>
          <w:kern w:val="2"/>
          <w:sz w:val="32"/>
          <w:szCs w:val="32"/>
          <w:lang w:val="en-US" w:eastAsia="zh-CN" w:bidi="ar"/>
        </w:rPr>
        <w:t>，微生物安全与健康专家。现任广东省科学院微生物研究所名誉所长、广东省科学技术协会副主席，并兼任中国食品科学技术学会副理事长、中国食用菌协会副会长、</w:t>
      </w:r>
      <w:r>
        <w:rPr>
          <w:rFonts w:hint="eastAsia" w:ascii="Times New Roman" w:hAnsi="Times New Roman" w:eastAsia="仿宋_GB2312" w:cs="仿宋_GB2312"/>
          <w:b/>
          <w:bCs w:val="0"/>
          <w:kern w:val="2"/>
          <w:sz w:val="32"/>
          <w:szCs w:val="32"/>
          <w:lang w:val="en-US" w:eastAsia="zh-CN" w:bidi="ar"/>
        </w:rPr>
        <w:t>国家微生物种业产业技术创新战略联盟理事长</w:t>
      </w:r>
      <w:r>
        <w:rPr>
          <w:rFonts w:hint="eastAsia" w:ascii="Times New Roman" w:hAnsi="Times New Roman" w:eastAsia="仿宋_GB2312" w:cs="仿宋_GB2312"/>
          <w:kern w:val="2"/>
          <w:sz w:val="32"/>
          <w:szCs w:val="32"/>
          <w:lang w:val="en-US" w:eastAsia="zh-CN" w:bidi="ar"/>
        </w:rPr>
        <w:t>，第十三届全国人大代表。研究团队配备一支以中青年骨干为主、老中青结合的年龄结构和职称结构较合理的科研队伍，主持及承担国家重点研发计划项目、国家自然科学基金重点项目等国家、省部级重大重点科研项目</w:t>
      </w:r>
      <w:r>
        <w:rPr>
          <w:rFonts w:hint="default" w:ascii="Times New Roman" w:hAnsi="Times New Roman" w:eastAsia="仿宋_GB2312" w:cs="Times New Roman"/>
          <w:kern w:val="2"/>
          <w:sz w:val="32"/>
          <w:szCs w:val="32"/>
          <w:lang w:val="en-US" w:eastAsia="zh-CN" w:bidi="ar"/>
        </w:rPr>
        <w:t>120</w:t>
      </w:r>
      <w:r>
        <w:rPr>
          <w:rFonts w:hint="eastAsia" w:ascii="Times New Roman" w:hAnsi="Times New Roman" w:eastAsia="仿宋_GB2312" w:cs="仿宋_GB2312"/>
          <w:kern w:val="2"/>
          <w:sz w:val="32"/>
          <w:szCs w:val="32"/>
          <w:lang w:val="en-US" w:eastAsia="zh-CN" w:bidi="ar"/>
        </w:rPr>
        <w:t>多项。</w:t>
      </w:r>
    </w:p>
    <w:p>
      <w:pPr>
        <w:keepNext w:val="0"/>
        <w:keepLines w:val="0"/>
        <w:widowControl w:val="0"/>
        <w:suppressLineNumbers w:val="0"/>
        <w:spacing w:before="0" w:beforeAutospacing="0" w:after="0" w:afterAutospacing="0" w:line="560" w:lineRule="exact"/>
        <w:ind w:left="0" w:right="0" w:firstLine="643" w:firstLineChars="200"/>
        <w:jc w:val="both"/>
        <w:textAlignment w:val="baseline"/>
        <w:rPr>
          <w:rFonts w:hint="default" w:ascii="Times New Roman" w:hAnsi="Times New Roman" w:eastAsia="仿宋_GB2312" w:cs="Times New Roman"/>
          <w:b/>
          <w:bCs w:val="0"/>
          <w:color w:val="000000"/>
          <w:sz w:val="32"/>
          <w:szCs w:val="32"/>
          <w:vertAlign w:val="baseline"/>
          <w:lang w:val="en-US"/>
        </w:rPr>
      </w:pPr>
      <w:r>
        <w:rPr>
          <w:rFonts w:hint="default" w:ascii="Times New Roman" w:hAnsi="Times New Roman" w:eastAsia="仿宋_GB2312" w:cs="Times New Roman"/>
          <w:b/>
          <w:bCs w:val="0"/>
          <w:color w:val="000000"/>
          <w:kern w:val="2"/>
          <w:sz w:val="32"/>
          <w:szCs w:val="32"/>
          <w:vertAlign w:val="baseline"/>
          <w:lang w:val="en-US" w:eastAsia="zh-CN" w:bidi="ar"/>
        </w:rPr>
        <w:t>3</w:t>
      </w:r>
      <w:r>
        <w:rPr>
          <w:rFonts w:hint="eastAsia" w:ascii="仿宋_GB2312" w:hAnsi="仿宋_GB2312" w:eastAsia="仿宋_GB2312" w:cs="仿宋_GB2312"/>
          <w:b/>
          <w:bCs w:val="0"/>
          <w:kern w:val="2"/>
          <w:sz w:val="32"/>
          <w:szCs w:val="32"/>
          <w:vertAlign w:val="baseline"/>
          <w:lang w:val="en-US" w:eastAsia="zh-CN" w:bidi="ar"/>
        </w:rPr>
        <w:t>.</w:t>
      </w:r>
      <w:r>
        <w:rPr>
          <w:rFonts w:hint="eastAsia" w:ascii="Times New Roman" w:hAnsi="Times New Roman" w:eastAsia="仿宋_GB2312" w:cs="仿宋_GB2312"/>
          <w:b/>
          <w:bCs w:val="0"/>
          <w:color w:val="000000"/>
          <w:kern w:val="2"/>
          <w:sz w:val="32"/>
          <w:szCs w:val="32"/>
          <w:vertAlign w:val="baseline"/>
          <w:lang w:val="en-US" w:eastAsia="zh-CN" w:bidi="ar"/>
        </w:rPr>
        <w:t>国家微生物种业产业技术创新战略联盟</w:t>
      </w:r>
      <w:r>
        <w:rPr>
          <w:rFonts w:hint="eastAsia" w:ascii="Times New Roman" w:hAnsi="Times New Roman" w:eastAsia="宋体" w:cs="宋体"/>
          <w:b/>
          <w:bCs w:val="0"/>
          <w:color w:val="000000"/>
          <w:kern w:val="2"/>
          <w:sz w:val="32"/>
          <w:szCs w:val="32"/>
          <w:vertAlign w:val="baseline"/>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本平台依托</w:t>
      </w:r>
      <w:r>
        <w:rPr>
          <w:rFonts w:hint="eastAsia" w:ascii="Times New Roman" w:hAnsi="Times New Roman" w:eastAsia="仿宋_GB2312" w:cs="仿宋_GB2312"/>
          <w:b/>
          <w:bCs w:val="0"/>
          <w:kern w:val="2"/>
          <w:sz w:val="32"/>
          <w:szCs w:val="32"/>
          <w:lang w:val="en-US" w:eastAsia="zh-CN" w:bidi="ar"/>
        </w:rPr>
        <w:t>国家微生物种业产业技术创新战略联盟</w:t>
      </w:r>
      <w:r>
        <w:rPr>
          <w:rFonts w:hint="eastAsia" w:ascii="Times New Roman" w:hAnsi="Times New Roman" w:eastAsia="仿宋_GB2312" w:cs="仿宋_GB2312"/>
          <w:kern w:val="2"/>
          <w:sz w:val="32"/>
          <w:szCs w:val="32"/>
          <w:lang w:val="en-US" w:eastAsia="zh-CN" w:bidi="ar"/>
        </w:rPr>
        <w:t>整合食品、微生物、大健康等领域优势单位与研发团队进行优势互补和科研攻关，同时将最新的科研成果在</w:t>
      </w:r>
      <w:r>
        <w:rPr>
          <w:rFonts w:hint="eastAsia" w:ascii="Times New Roman" w:hAnsi="Times New Roman" w:eastAsia="仿宋_GB2312" w:cs="仿宋_GB2312"/>
          <w:b/>
          <w:bCs w:val="0"/>
          <w:kern w:val="2"/>
          <w:sz w:val="32"/>
          <w:szCs w:val="32"/>
          <w:lang w:val="en-US" w:eastAsia="zh-CN" w:bidi="ar"/>
        </w:rPr>
        <w:t>广东环凯生物科技有限公司、广东粤微生物科技有限公司</w:t>
      </w:r>
      <w:r>
        <w:rPr>
          <w:rFonts w:hint="eastAsia" w:ascii="Times New Roman" w:hAnsi="Times New Roman" w:eastAsia="仿宋_GB2312" w:cs="仿宋_GB2312"/>
          <w:kern w:val="2"/>
          <w:sz w:val="32"/>
          <w:szCs w:val="32"/>
          <w:lang w:val="en-US" w:eastAsia="zh-CN" w:bidi="ar"/>
        </w:rPr>
        <w:t>进行孵化转化，最终实现产业化。</w:t>
      </w:r>
    </w:p>
    <w:p>
      <w:pPr>
        <w:keepNext w:val="0"/>
        <w:keepLines w:val="0"/>
        <w:widowControl w:val="0"/>
        <w:suppressLineNumbers w:val="0"/>
        <w:adjustRightInd w:val="0"/>
        <w:snapToGrid w:val="0"/>
        <w:spacing w:before="0" w:beforeAutospacing="0" w:after="0" w:afterAutospacing="0" w:line="56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val="0"/>
          <w:kern w:val="2"/>
          <w:sz w:val="32"/>
          <w:szCs w:val="32"/>
          <w:lang w:val="en-US" w:eastAsia="zh-CN" w:bidi="ar"/>
        </w:rPr>
        <w:t>4</w:t>
      </w:r>
      <w:r>
        <w:rPr>
          <w:rFonts w:hint="eastAsia" w:ascii="仿宋_GB2312" w:hAnsi="仿宋_GB2312" w:eastAsia="仿宋_GB2312" w:cs="仿宋_GB2312"/>
          <w:b/>
          <w:bCs w:val="0"/>
          <w:kern w:val="2"/>
          <w:sz w:val="32"/>
          <w:szCs w:val="32"/>
          <w:lang w:val="en-US" w:eastAsia="zh-CN" w:bidi="ar"/>
        </w:rPr>
        <w:t>.</w:t>
      </w:r>
      <w:r>
        <w:rPr>
          <w:rFonts w:hint="eastAsia" w:ascii="Times New Roman" w:hAnsi="Times New Roman" w:eastAsia="仿宋_GB2312" w:cs="仿宋_GB2312"/>
          <w:b/>
          <w:bCs w:val="0"/>
          <w:kern w:val="2"/>
          <w:sz w:val="32"/>
          <w:szCs w:val="32"/>
          <w:lang w:val="en-US" w:eastAsia="zh-CN" w:bidi="ar"/>
        </w:rPr>
        <w:t>研究成果孵化转化平台</w:t>
      </w:r>
      <w:r>
        <w:rPr>
          <w:rFonts w:hint="eastAsia" w:ascii="Times New Roman" w:hAnsi="Times New Roman" w:eastAsia="宋体" w:cs="宋体"/>
          <w:b/>
          <w:bCs w:val="0"/>
          <w:kern w:val="2"/>
          <w:sz w:val="32"/>
          <w:szCs w:val="32"/>
          <w:lang w:val="en-US" w:eastAsia="zh-CN" w:bidi="ar"/>
        </w:rPr>
        <w:t>。</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联盟成员</w:t>
      </w:r>
      <w:r>
        <w:rPr>
          <w:rFonts w:hint="eastAsia" w:ascii="Times New Roman" w:hAnsi="Times New Roman" w:eastAsia="仿宋_GB2312" w:cs="仿宋_GB2312"/>
          <w:b/>
          <w:bCs w:val="0"/>
          <w:kern w:val="2"/>
          <w:sz w:val="32"/>
          <w:szCs w:val="32"/>
          <w:lang w:val="en-US" w:eastAsia="zh-CN" w:bidi="ar"/>
        </w:rPr>
        <w:t>广东环凯微生物科技有限公司</w:t>
      </w:r>
      <w:r>
        <w:rPr>
          <w:rFonts w:hint="eastAsia" w:ascii="Times New Roman" w:hAnsi="Times New Roman" w:eastAsia="仿宋_GB2312" w:cs="仿宋_GB2312"/>
          <w:kern w:val="2"/>
          <w:sz w:val="32"/>
          <w:szCs w:val="32"/>
          <w:lang w:val="en-US" w:eastAsia="zh-CN" w:bidi="ar"/>
        </w:rPr>
        <w:t>坚持</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专注微生物监测控制，为食药安全保驾护航</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宗旨，形成了具有自主知识产权的微生物检测产品、理化快速检测产品、高效环保清洗剂消毒剂、智能实验室装备等四大系列产品线，逾两千个品种的产品，广泛应用于世界各地，具备较强的研发实力，拥有与国际先进水平接轨的良好科研条件。公司建有多条业内先进的生产线和高标准的研发、质控实验室，已通过了</w:t>
      </w:r>
      <w:r>
        <w:rPr>
          <w:rFonts w:hint="default" w:ascii="Times New Roman" w:hAnsi="Times New Roman" w:eastAsia="仿宋_GB2312" w:cs="Times New Roman"/>
          <w:kern w:val="2"/>
          <w:sz w:val="32"/>
          <w:szCs w:val="32"/>
          <w:lang w:val="en-US" w:eastAsia="zh-CN" w:bidi="ar"/>
        </w:rPr>
        <w:t>ISO9001</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FDA</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GMP</w:t>
      </w:r>
      <w:r>
        <w:rPr>
          <w:rFonts w:hint="eastAsia" w:ascii="Times New Roman" w:hAnsi="Times New Roman" w:eastAsia="仿宋_GB2312" w:cs="仿宋_GB2312"/>
          <w:kern w:val="2"/>
          <w:sz w:val="32"/>
          <w:szCs w:val="32"/>
          <w:lang w:val="en-US" w:eastAsia="zh-CN" w:bidi="ar"/>
        </w:rPr>
        <w:t>等质量管理体系认证。</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联盟成员</w:t>
      </w:r>
      <w:r>
        <w:rPr>
          <w:rFonts w:hint="eastAsia" w:ascii="Times New Roman" w:hAnsi="Times New Roman" w:eastAsia="仿宋_GB2312" w:cs="仿宋_GB2312"/>
          <w:b/>
          <w:bCs w:val="0"/>
          <w:kern w:val="2"/>
          <w:sz w:val="32"/>
          <w:szCs w:val="32"/>
          <w:lang w:val="en-US" w:eastAsia="zh-CN" w:bidi="ar"/>
        </w:rPr>
        <w:t>广东粤微食用菌技术有限公司</w:t>
      </w:r>
      <w:r>
        <w:rPr>
          <w:rFonts w:hint="eastAsia" w:ascii="Times New Roman" w:hAnsi="Times New Roman" w:eastAsia="仿宋_GB2312" w:cs="仿宋_GB2312"/>
          <w:kern w:val="2"/>
          <w:sz w:val="32"/>
          <w:szCs w:val="32"/>
          <w:lang w:val="en-US" w:eastAsia="zh-CN" w:bidi="ar"/>
        </w:rPr>
        <w:t>，是由广东省科学院微生物研究所及其科研人员组建而成的高新技术企业。专业从事食</w:t>
      </w:r>
      <w:r>
        <w:rPr>
          <w:rFonts w:hint="eastAsia" w:ascii="仿宋_GB2312" w:hAnsi="仿宋_GB2312" w:eastAsia="仿宋_GB2312" w:cs="仿宋_GB2312"/>
          <w:kern w:val="2"/>
          <w:sz w:val="32"/>
          <w:szCs w:val="32"/>
          <w:lang w:val="en-US" w:eastAsia="zh-CN" w:bidi="ar"/>
        </w:rPr>
        <w:t>(药)用</w:t>
      </w:r>
      <w:r>
        <w:rPr>
          <w:rFonts w:hint="eastAsia" w:ascii="Times New Roman" w:hAnsi="Times New Roman" w:eastAsia="仿宋_GB2312" w:cs="仿宋_GB2312"/>
          <w:kern w:val="2"/>
          <w:sz w:val="32"/>
          <w:szCs w:val="32"/>
          <w:lang w:val="en-US" w:eastAsia="zh-CN" w:bidi="ar"/>
        </w:rPr>
        <w:t>菌的功效研究、活性成分提取分离、功能新产品</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包括保健食品、营养食品、菇菌护肤品原料</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开发和优新菌种选育及工厂化栽培技术推广。先后通过了高新技术企业认证、</w:t>
      </w:r>
      <w:r>
        <w:rPr>
          <w:rFonts w:hint="default" w:ascii="Times New Roman" w:hAnsi="Times New Roman" w:eastAsia="仿宋_GB2312" w:cs="Times New Roman"/>
          <w:kern w:val="2"/>
          <w:sz w:val="32"/>
          <w:szCs w:val="32"/>
          <w:lang w:val="en-US" w:eastAsia="zh-CN" w:bidi="ar"/>
        </w:rPr>
        <w:t>ISO9001</w:t>
      </w:r>
      <w:r>
        <w:rPr>
          <w:rFonts w:hint="eastAsia" w:ascii="Times New Roman" w:hAnsi="Times New Roman" w:eastAsia="仿宋_GB2312" w:cs="仿宋_GB2312"/>
          <w:kern w:val="2"/>
          <w:sz w:val="32"/>
          <w:szCs w:val="32"/>
          <w:lang w:val="en-US" w:eastAsia="zh-CN" w:bidi="ar"/>
        </w:rPr>
        <w:t>质量管理体系认证，保健食品</w:t>
      </w:r>
      <w:r>
        <w:rPr>
          <w:rFonts w:hint="default" w:ascii="Times New Roman" w:hAnsi="Times New Roman" w:eastAsia="仿宋_GB2312" w:cs="Times New Roman"/>
          <w:kern w:val="2"/>
          <w:sz w:val="32"/>
          <w:szCs w:val="32"/>
          <w:lang w:val="en-US" w:eastAsia="zh-CN" w:bidi="ar"/>
        </w:rPr>
        <w:t>GMP</w:t>
      </w:r>
      <w:r>
        <w:rPr>
          <w:rFonts w:hint="eastAsia" w:ascii="Times New Roman" w:hAnsi="Times New Roman" w:eastAsia="仿宋_GB2312" w:cs="仿宋_GB2312"/>
          <w:kern w:val="2"/>
          <w:sz w:val="32"/>
          <w:szCs w:val="32"/>
          <w:lang w:val="en-US" w:eastAsia="zh-CN" w:bidi="ar"/>
        </w:rPr>
        <w:t>、有机食品、</w:t>
      </w:r>
      <w:r>
        <w:rPr>
          <w:rFonts w:hint="default" w:ascii="Times New Roman" w:hAnsi="Times New Roman" w:eastAsia="仿宋_GB2312" w:cs="Times New Roman"/>
          <w:kern w:val="2"/>
          <w:sz w:val="32"/>
          <w:szCs w:val="32"/>
          <w:lang w:val="en-US" w:eastAsia="zh-CN" w:bidi="ar"/>
        </w:rPr>
        <w:t xml:space="preserve"> HACCP</w:t>
      </w:r>
      <w:r>
        <w:rPr>
          <w:rFonts w:hint="eastAsia" w:ascii="Times New Roman" w:hAnsi="Times New Roman" w:eastAsia="仿宋_GB2312" w:cs="仿宋_GB2312"/>
          <w:kern w:val="2"/>
          <w:sz w:val="32"/>
          <w:szCs w:val="32"/>
          <w:lang w:val="en-US" w:eastAsia="zh-CN" w:bidi="ar"/>
        </w:rPr>
        <w:t>认证、出口食品企业等多项认证。</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sz w:val="32"/>
          <w:szCs w:val="32"/>
          <w:lang w:val="en-US"/>
        </w:rPr>
      </w:pPr>
      <w:bookmarkStart w:id="8" w:name="_Toc139018330"/>
      <w:r>
        <w:rPr>
          <w:rFonts w:hint="eastAsia" w:ascii="Times New Roman" w:hAnsi="Times New Roman" w:eastAsia="楷体_GB2312" w:cs="楷体_GB2312"/>
          <w:kern w:val="2"/>
          <w:sz w:val="32"/>
          <w:szCs w:val="32"/>
          <w:lang w:val="en-US" w:eastAsia="zh-CN" w:bidi="ar"/>
        </w:rPr>
        <w:t>（二）健康功能微生物方向</w:t>
      </w:r>
      <w:bookmarkEnd w:id="8"/>
      <w:r>
        <w:rPr>
          <w:rFonts w:hint="eastAsia" w:ascii="Times New Roman" w:hAnsi="Times New Roman" w:eastAsia="楷体_GB2312" w:cs="楷体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eastAsia" w:ascii="Times New Roman" w:hAnsi="Times New Roman" w:eastAsia="仿宋_GB2312" w:cs="仿宋_GB2312"/>
          <w:kern w:val="2"/>
          <w:sz w:val="32"/>
          <w:szCs w:val="32"/>
          <w:vertAlign w:val="baseline"/>
          <w:lang w:val="en-US" w:eastAsia="zh-CN" w:bidi="ar"/>
        </w:rPr>
        <w:t>建立宏基因组、基因组、代谢组等多组学大数据库，解析样本微生物组互作网络为理性选育高活性功能微生物与合成微生物组奠定基础。</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sz w:val="32"/>
          <w:szCs w:val="32"/>
          <w:lang w:val="en-US"/>
        </w:rPr>
      </w:pPr>
      <w:bookmarkStart w:id="9" w:name="_Toc139018331"/>
      <w:r>
        <w:rPr>
          <w:rFonts w:hint="eastAsia" w:ascii="Times New Roman" w:hAnsi="Times New Roman" w:eastAsia="楷体_GB2312" w:cs="楷体_GB2312"/>
          <w:kern w:val="2"/>
          <w:sz w:val="32"/>
          <w:szCs w:val="32"/>
          <w:lang w:val="en-US" w:eastAsia="zh-CN" w:bidi="ar"/>
        </w:rPr>
        <w:t>（三）食药用菌研究与开发利用</w:t>
      </w:r>
      <w:bookmarkEnd w:id="9"/>
      <w:r>
        <w:rPr>
          <w:rFonts w:hint="eastAsia" w:ascii="Times New Roman" w:hAnsi="Times New Roman" w:eastAsia="楷体_GB2312" w:cs="楷体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sz w:val="32"/>
          <w:szCs w:val="32"/>
          <w:lang w:val="en-US"/>
        </w:rPr>
      </w:pPr>
      <w:r>
        <w:rPr>
          <w:rFonts w:hint="eastAsia" w:ascii="Times New Roman" w:hAnsi="Times New Roman" w:eastAsia="仿宋_GB2312" w:cs="仿宋_GB2312"/>
          <w:kern w:val="2"/>
          <w:sz w:val="32"/>
          <w:szCs w:val="32"/>
          <w:lang w:val="en-US" w:eastAsia="zh-CN" w:bidi="ar"/>
        </w:rPr>
        <w:t>创建了基于食源性致病微生物分子监控的食用菌安全高效大规模生产关键技术，大幅度提升了我国食用菌现代化生产技术水平，</w:t>
      </w:r>
      <w:r>
        <w:rPr>
          <w:rFonts w:hint="default" w:ascii="Times New Roman" w:hAnsi="Times New Roman" w:eastAsia="仿宋_GB2312" w:cs="Times New Roman"/>
          <w:b/>
          <w:bCs/>
          <w:kern w:val="2"/>
          <w:sz w:val="32"/>
          <w:szCs w:val="32"/>
          <w:lang w:val="en-US" w:eastAsia="zh-CN" w:bidi="ar"/>
        </w:rPr>
        <w:t>2007</w:t>
      </w:r>
      <w:r>
        <w:rPr>
          <w:rFonts w:hint="eastAsia" w:ascii="Times New Roman" w:hAnsi="Times New Roman" w:eastAsia="仿宋_GB2312" w:cs="仿宋_GB2312"/>
          <w:b/>
          <w:bCs/>
          <w:kern w:val="2"/>
          <w:sz w:val="32"/>
          <w:szCs w:val="32"/>
          <w:lang w:val="en-US" w:eastAsia="zh-CN" w:bidi="ar"/>
        </w:rPr>
        <w:t>年获得国家科技进步二等奖（食用菌优质高效大规模生产关键技术研究）</w:t>
      </w:r>
      <w:r>
        <w:rPr>
          <w:rFonts w:hint="eastAsia" w:ascii="Times New Roman" w:hAnsi="Times New Roman" w:eastAsia="仿宋_GB2312" w:cs="仿宋_GB2312"/>
          <w:kern w:val="2"/>
          <w:sz w:val="32"/>
          <w:szCs w:val="32"/>
          <w:lang w:val="en-US" w:eastAsia="zh-CN" w:bidi="ar"/>
        </w:rPr>
        <w:t>。</w:t>
      </w:r>
      <w:bookmarkStart w:id="10" w:name="_Toc139018332"/>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sz w:val="32"/>
          <w:szCs w:val="32"/>
          <w:lang w:val="en-US"/>
        </w:rPr>
      </w:pPr>
      <w:r>
        <w:rPr>
          <w:rFonts w:hint="eastAsia" w:ascii="Times New Roman" w:hAnsi="Times New Roman" w:eastAsia="楷体_GB2312" w:cs="楷体_GB2312"/>
          <w:kern w:val="2"/>
          <w:sz w:val="32"/>
          <w:szCs w:val="32"/>
          <w:lang w:val="en-US" w:eastAsia="zh-CN" w:bidi="ar"/>
        </w:rPr>
        <w:t>（四）病原微生物危害形成与高效控制</w:t>
      </w:r>
      <w:bookmarkEnd w:id="10"/>
      <w:r>
        <w:rPr>
          <w:rFonts w:hint="eastAsia" w:ascii="Times New Roman" w:hAnsi="Times New Roman" w:eastAsia="楷体_GB2312" w:cs="楷体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sz w:val="32"/>
          <w:szCs w:val="32"/>
          <w:lang w:val="en-US"/>
        </w:rPr>
      </w:pPr>
      <w:r>
        <w:rPr>
          <w:rFonts w:hint="eastAsia" w:ascii="Times New Roman" w:hAnsi="Times New Roman" w:eastAsia="仿宋_GB2312" w:cs="仿宋_GB2312"/>
          <w:kern w:val="2"/>
          <w:sz w:val="32"/>
          <w:szCs w:val="32"/>
          <w:lang w:val="en-US" w:eastAsia="zh-CN" w:bidi="ar"/>
        </w:rPr>
        <w:t>创建了食品微生物安全快速检测和高效控制技术，为我国食品安全监控构建起技术保障体系，</w:t>
      </w:r>
      <w:r>
        <w:rPr>
          <w:rFonts w:hint="default" w:ascii="Times New Roman" w:hAnsi="Times New Roman" w:eastAsia="仿宋_GB2312" w:cs="Times New Roman"/>
          <w:b/>
          <w:bCs/>
          <w:kern w:val="2"/>
          <w:sz w:val="32"/>
          <w:szCs w:val="32"/>
          <w:lang w:val="en-US" w:eastAsia="zh-CN" w:bidi="ar"/>
        </w:rPr>
        <w:t>2010</w:t>
      </w:r>
      <w:r>
        <w:rPr>
          <w:rFonts w:hint="eastAsia" w:ascii="Times New Roman" w:hAnsi="Times New Roman" w:eastAsia="仿宋_GB2312" w:cs="仿宋_GB2312"/>
          <w:b/>
          <w:bCs/>
          <w:kern w:val="2"/>
          <w:sz w:val="32"/>
          <w:szCs w:val="32"/>
          <w:lang w:val="en-US" w:eastAsia="zh-CN" w:bidi="ar"/>
        </w:rPr>
        <w:t>年获得国家科技进步二等奖（食品微生物安全快速检测与高效控制技术）</w:t>
      </w:r>
      <w:r>
        <w:rPr>
          <w:rFonts w:hint="eastAsia" w:ascii="Times New Roman" w:hAnsi="Times New Roman" w:eastAsia="仿宋_GB2312" w:cs="仿宋_GB2312"/>
          <w:kern w:val="2"/>
          <w:sz w:val="32"/>
          <w:szCs w:val="32"/>
          <w:lang w:val="en-US" w:eastAsia="zh-CN" w:bidi="ar"/>
        </w:rPr>
        <w:t>。</w:t>
      </w:r>
      <w:bookmarkStart w:id="11" w:name="_Toc139018333"/>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sz w:val="32"/>
          <w:szCs w:val="32"/>
          <w:lang w:val="en-US"/>
        </w:rPr>
      </w:pPr>
      <w:r>
        <w:rPr>
          <w:rFonts w:hint="eastAsia" w:ascii="Times New Roman" w:hAnsi="Times New Roman" w:eastAsia="楷体_GB2312" w:cs="楷体_GB2312"/>
          <w:kern w:val="2"/>
          <w:sz w:val="32"/>
          <w:szCs w:val="32"/>
          <w:lang w:val="en-US" w:eastAsia="zh-CN" w:bidi="ar"/>
        </w:rPr>
        <w:t>（五）国家微生物种业产业技术创新战略联盟的资源、科技与成果转化支撑</w:t>
      </w:r>
      <w:bookmarkEnd w:id="11"/>
      <w:r>
        <w:rPr>
          <w:rFonts w:hint="eastAsia" w:ascii="Times New Roman" w:hAnsi="Times New Roman" w:eastAsia="楷体_GB2312" w:cs="楷体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国家微生物种业产业技术创新战略联盟涵盖了我国微生物、食品与健康等领域</w:t>
      </w:r>
      <w:r>
        <w:rPr>
          <w:rFonts w:hint="default" w:ascii="Times New Roman" w:hAnsi="Times New Roman" w:eastAsia="仿宋_GB2312" w:cs="Times New Roman"/>
          <w:kern w:val="2"/>
          <w:sz w:val="32"/>
          <w:szCs w:val="32"/>
          <w:lang w:val="en-US" w:eastAsia="zh-CN" w:bidi="ar"/>
        </w:rPr>
        <w:t>53</w:t>
      </w:r>
      <w:r>
        <w:rPr>
          <w:rFonts w:hint="eastAsia" w:ascii="Times New Roman" w:hAnsi="Times New Roman" w:eastAsia="仿宋_GB2312" w:cs="仿宋_GB2312"/>
          <w:kern w:val="2"/>
          <w:sz w:val="32"/>
          <w:szCs w:val="32"/>
          <w:lang w:val="en-US" w:eastAsia="zh-CN" w:bidi="ar"/>
        </w:rPr>
        <w:t>家会员单位。通过微生物种业教学、科研、产业、服务等单位及专家开展科技协同创新，按照基础研究、基因挖掘与资源创制、前沿高新技术、关键共性技术、重大产品创制、良种繁育与示范应用等创新链的关键环节，强化共性支撑体系与协同创新平台建设，系统布局和实施微生物种业全产业链科技创新行动，将打造具有国际竞争力的领军企业，构建产业主导、企业主体、公益性支撑的产学研一体化微生物种业创新体系，全面提升我国微生物种业自主创新能力，推动建设微生物种业科技强国。</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sz w:val="32"/>
          <w:szCs w:val="32"/>
          <w:lang w:val="en-US"/>
        </w:rPr>
      </w:pPr>
      <w:bookmarkStart w:id="12" w:name="_Toc139018334"/>
      <w:r>
        <w:rPr>
          <w:rFonts w:hint="eastAsia" w:ascii="Times New Roman" w:hAnsi="Times New Roman" w:eastAsia="楷体_GB2312" w:cs="楷体_GB2312"/>
          <w:kern w:val="2"/>
          <w:sz w:val="32"/>
          <w:szCs w:val="32"/>
          <w:lang w:val="en-US" w:eastAsia="zh-CN" w:bidi="ar"/>
        </w:rPr>
        <w:t>（六）人才团队</w:t>
      </w:r>
      <w:bookmarkEnd w:id="12"/>
      <w:r>
        <w:rPr>
          <w:rFonts w:hint="eastAsia" w:ascii="Times New Roman" w:hAnsi="Times New Roman" w:eastAsia="楷体_GB2312" w:cs="楷体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bCs/>
          <w:sz w:val="32"/>
          <w:szCs w:val="32"/>
          <w:lang w:val="en-US"/>
        </w:rPr>
      </w:pPr>
      <w:r>
        <w:rPr>
          <w:rFonts w:hint="eastAsia" w:ascii="Times New Roman" w:hAnsi="Times New Roman" w:eastAsia="仿宋_GB2312" w:cs="仿宋_GB2312"/>
          <w:b/>
          <w:bCs w:val="0"/>
          <w:kern w:val="2"/>
          <w:sz w:val="32"/>
          <w:szCs w:val="32"/>
          <w:lang w:val="en-US" w:eastAsia="zh-CN" w:bidi="ar"/>
        </w:rPr>
        <w:t>联盟单位还拥有其他</w:t>
      </w:r>
      <w:r>
        <w:rPr>
          <w:rFonts w:hint="default" w:ascii="Times New Roman" w:hAnsi="Times New Roman" w:eastAsia="仿宋_GB2312" w:cs="Times New Roman"/>
          <w:b/>
          <w:bCs w:val="0"/>
          <w:kern w:val="2"/>
          <w:sz w:val="32"/>
          <w:szCs w:val="32"/>
          <w:lang w:val="en-US" w:eastAsia="zh-CN" w:bidi="ar"/>
        </w:rPr>
        <w:t>8</w:t>
      </w:r>
      <w:r>
        <w:rPr>
          <w:rFonts w:hint="eastAsia" w:ascii="Times New Roman" w:hAnsi="Times New Roman" w:eastAsia="仿宋_GB2312" w:cs="仿宋_GB2312"/>
          <w:b/>
          <w:bCs w:val="0"/>
          <w:kern w:val="2"/>
          <w:sz w:val="32"/>
          <w:szCs w:val="32"/>
          <w:lang w:val="en-US" w:eastAsia="zh-CN" w:bidi="ar"/>
        </w:rPr>
        <w:t>个院士团队</w:t>
      </w:r>
      <w:r>
        <w:rPr>
          <w:rFonts w:hint="eastAsia" w:ascii="Times New Roman" w:hAnsi="Times New Roman" w:eastAsia="仿宋_GB2312" w:cs="仿宋_GB2312"/>
          <w:kern w:val="2"/>
          <w:sz w:val="32"/>
          <w:szCs w:val="32"/>
          <w:lang w:val="en-US" w:eastAsia="zh-CN" w:bidi="ar"/>
        </w:rPr>
        <w:t>，同时也包含</w:t>
      </w:r>
      <w:r>
        <w:rPr>
          <w:rFonts w:hint="default" w:ascii="Times New Roman" w:hAnsi="Times New Roman" w:eastAsia="仿宋_GB2312" w:cs="Times New Roman"/>
          <w:kern w:val="2"/>
          <w:sz w:val="32"/>
          <w:szCs w:val="32"/>
          <w:lang w:val="en-US" w:eastAsia="zh-CN" w:bidi="ar"/>
        </w:rPr>
        <w:t>60</w:t>
      </w:r>
      <w:r>
        <w:rPr>
          <w:rFonts w:hint="eastAsia" w:ascii="Times New Roman" w:hAnsi="Times New Roman" w:eastAsia="仿宋_GB2312" w:cs="仿宋_GB2312"/>
          <w:kern w:val="2"/>
          <w:sz w:val="32"/>
          <w:szCs w:val="32"/>
          <w:lang w:val="en-US" w:eastAsia="zh-CN" w:bidi="ar"/>
        </w:rPr>
        <w:t>个国内优秀研究团队，研究领域涉及到基础研究（作用机制、功能成分挖掘等）、食品微生物资源（如益生菌、酵母、微藻等）、食品营养与健康（功能挖掘与评价、临床研究）、食品安全（微生物安全、原料安全评价等）、食品制造与加工（酿造、精深加工等），涵盖了产学研整条线路。</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黑体" w:cs="Times New Roman"/>
          <w:sz w:val="32"/>
          <w:szCs w:val="32"/>
          <w:lang w:val="en-US"/>
        </w:rPr>
      </w:pPr>
      <w:bookmarkStart w:id="13" w:name="_Toc139018335"/>
      <w:r>
        <w:rPr>
          <w:rFonts w:hint="eastAsia" w:ascii="Times New Roman" w:hAnsi="Times New Roman" w:eastAsia="黑体" w:cs="黑体"/>
          <w:kern w:val="2"/>
          <w:sz w:val="32"/>
          <w:szCs w:val="32"/>
          <w:lang w:val="en-US" w:eastAsia="zh-CN" w:bidi="ar"/>
        </w:rPr>
        <w:t>四、参与单位与职责</w:t>
      </w:r>
      <w:bookmarkEnd w:id="13"/>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依托广东省科学院微生物研究所、国家微生物种业产业技术创新战略联盟、广东环凯生物科技有限公司、广东粤微生物科技有限公司，团队汇集我国微生物、食品科学、营养科学与食品安全等领域最顶尖的科研单位和团队，主要包括广东省科学院微生物研究所、上海交通大学、</w:t>
      </w:r>
      <w:r>
        <w:rPr>
          <w:rFonts w:hint="eastAsia" w:ascii="Times New Roman" w:hAnsi="Times New Roman" w:eastAsia="仿宋_GB2312" w:cs="仿宋_GB2312"/>
          <w:color w:val="000000"/>
          <w:kern w:val="2"/>
          <w:sz w:val="32"/>
          <w:szCs w:val="32"/>
          <w:lang w:val="en-US" w:eastAsia="zh-CN" w:bidi="ar"/>
        </w:rPr>
        <w:t>江南大学、华南农业大学</w:t>
      </w:r>
      <w:r>
        <w:rPr>
          <w:rFonts w:hint="eastAsia" w:ascii="Times New Roman" w:hAnsi="Times New Roman" w:eastAsia="仿宋_GB2312" w:cs="仿宋_GB2312"/>
          <w:kern w:val="2"/>
          <w:sz w:val="32"/>
          <w:szCs w:val="32"/>
          <w:lang w:val="en-US" w:eastAsia="zh-CN" w:bidi="ar"/>
        </w:rPr>
        <w:t>等优势单位的知名团队，以及成果转移转化优势企业如上述平台依托的两个公司和安琪酵母股份有限公司等。</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主体主要由广东省科学院微生物研究所承担，协调联盟内单位和团队共同搭建微生物食品营养与安全科技创新平台，组织实施相关项目和章程，协调相关成果转移转化。</w:t>
      </w:r>
    </w:p>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方正小标宋简体">
    <w:panose1 w:val="03000509000000000000"/>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Cambria Math">
    <w:panose1 w:val="02040503050406030204"/>
    <w:charset w:val="01"/>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仿宋_GB2312">
    <w:panose1 w:val="02010609030101010101"/>
    <w:charset w:val="86"/>
    <w:family w:val="auto"/>
    <w:pitch w:val="fixed"/>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楷体_GB2312">
    <w:panose1 w:val="02010609030101010101"/>
    <w:charset w:val="86"/>
    <w:family w:val="auto"/>
    <w:pitch w:val="fixed"/>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0YjdkZjY5MzdhN2ZiZDIxMWY1ZmZlZjMyMThlOGUifQ=="/>
  </w:docVars>
  <w:rsids>
    <w:rsidRoot w:val="00000000"/>
    <w:rsid w:val="597B3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7"/>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next w:val="4"/>
    <w:link w:val="8"/>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32"/>
      <w:szCs w:val="24"/>
      <w:lang w:val="en-US" w:eastAsia="zh-CN" w:bidi="ar"/>
    </w:rPr>
  </w:style>
  <w:style w:type="paragraph" w:styleId="4">
    <w:name w:val="Title"/>
    <w:basedOn w:val="1"/>
    <w:link w:val="9"/>
    <w:qFormat/>
    <w:uiPriority w:val="0"/>
    <w:pPr>
      <w:spacing w:before="240" w:beforeLines="0" w:beforeAutospacing="0" w:after="60" w:afterLines="0" w:afterAutospacing="0"/>
      <w:jc w:val="center"/>
      <w:outlineLvl w:val="0"/>
    </w:pPr>
    <w:rPr>
      <w:rFonts w:ascii="Arial" w:hAnsi="Arial"/>
      <w:b/>
      <w:sz w:val="32"/>
    </w:rPr>
  </w:style>
  <w:style w:type="character" w:customStyle="1" w:styleId="7">
    <w:name w:val="标题 3 Char"/>
    <w:basedOn w:val="6"/>
    <w:link w:val="2"/>
    <w:uiPriority w:val="0"/>
    <w:rPr>
      <w:b/>
      <w:bCs/>
      <w:kern w:val="2"/>
      <w:sz w:val="32"/>
      <w:szCs w:val="32"/>
    </w:rPr>
  </w:style>
  <w:style w:type="character" w:customStyle="1" w:styleId="8">
    <w:name w:val="正文文本 Char"/>
    <w:basedOn w:val="6"/>
    <w:link w:val="3"/>
    <w:uiPriority w:val="0"/>
    <w:rPr>
      <w:rFonts w:hint="default" w:ascii="Times New Roman" w:hAnsi="Times New Roman" w:cs="Times New Roman"/>
      <w:kern w:val="2"/>
      <w:sz w:val="32"/>
      <w:szCs w:val="24"/>
    </w:rPr>
  </w:style>
  <w:style w:type="character" w:customStyle="1" w:styleId="9">
    <w:name w:val="标题 Char"/>
    <w:basedOn w:val="6"/>
    <w:link w:val="4"/>
    <w:uiPriority w:val="0"/>
    <w:rPr>
      <w:rFonts w:ascii="Cambria" w:hAnsi="Cambria" w:eastAsia="Cambria" w:cs="Times New Roman"/>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2023-07-24T12:14:46Z</dcterms:created>
  <dc:creator>Administrator</dc:creator>
  <cp:lastModifiedBy>Administrator</cp:lastModifiedBy>
  <dcterms:modified xsi:type="dcterms:W3CDTF">2023-07-24T12:15:16Z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B28C716A1D2E418388B3FCDC919AB53C_12</vt:lpwstr>
  </property>
</Properties>
</file>