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snapToGrid w:val="0"/>
          <w:color w:val="auto"/>
          <w:kern w:val="0"/>
          <w:sz w:val="32"/>
          <w:szCs w:val="32"/>
          <w:highlight w:val="none"/>
          <w:lang w:val="en-US" w:eastAsia="zh-CN"/>
        </w:rPr>
      </w:pPr>
      <w:r>
        <w:rPr>
          <w:rFonts w:hint="eastAsia" w:ascii="Times New Roman" w:hAnsi="Times New Roman" w:eastAsia="黑体" w:cs="Times New Roman"/>
          <w:snapToGrid w:val="0"/>
          <w:color w:val="auto"/>
          <w:kern w:val="0"/>
          <w:sz w:val="32"/>
          <w:szCs w:val="32"/>
          <w:highlight w:val="none"/>
          <w:lang w:val="en-US" w:eastAsia="zh-CN"/>
        </w:rPr>
        <w:t>附件</w:t>
      </w:r>
      <w:r>
        <w:rPr>
          <w:rFonts w:hint="default" w:ascii="Times New Roman" w:hAnsi="Times New Roman" w:eastAsia="黑体" w:cs="Times New Roman"/>
          <w:snapToGrid w:val="0"/>
          <w:color w:val="auto"/>
          <w:kern w:val="0"/>
          <w:sz w:val="32"/>
          <w:szCs w:val="32"/>
          <w:highlight w:val="none"/>
          <w:lang w:val="en-US" w:eastAsia="zh-CN"/>
        </w:rPr>
        <w:t>4</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napToGrid w:val="0"/>
          <w:kern w:val="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snapToGrid w:val="0"/>
          <w:color w:val="auto"/>
          <w:kern w:val="0"/>
          <w:sz w:val="44"/>
          <w:szCs w:val="44"/>
          <w:highlight w:val="none"/>
          <w:lang w:val="en-US" w:eastAsia="zh-CN"/>
        </w:rPr>
      </w:pPr>
      <w:r>
        <w:rPr>
          <w:rFonts w:hint="default" w:ascii="Times New Roman" w:hAnsi="Times New Roman" w:eastAsia="方正小标宋简体" w:cs="Times New Roman"/>
          <w:b w:val="0"/>
          <w:bCs/>
          <w:snapToGrid w:val="0"/>
          <w:color w:val="auto"/>
          <w:kern w:val="0"/>
          <w:sz w:val="44"/>
          <w:szCs w:val="44"/>
          <w:highlight w:val="none"/>
          <w:lang w:eastAsia="zh-CN"/>
        </w:rPr>
        <w:t>广东</w:t>
      </w:r>
      <w:r>
        <w:rPr>
          <w:rFonts w:hint="default" w:ascii="Times New Roman" w:hAnsi="Times New Roman" w:eastAsia="方正小标宋简体" w:cs="Times New Roman"/>
          <w:b w:val="0"/>
          <w:bCs/>
          <w:snapToGrid w:val="0"/>
          <w:color w:val="auto"/>
          <w:kern w:val="0"/>
          <w:sz w:val="44"/>
          <w:szCs w:val="44"/>
          <w:highlight w:val="none"/>
        </w:rPr>
        <w:t>省</w:t>
      </w:r>
      <w:r>
        <w:rPr>
          <w:rFonts w:hint="default" w:ascii="Times New Roman" w:hAnsi="Times New Roman" w:eastAsia="方正小标宋简体" w:cs="Times New Roman"/>
          <w:b w:val="0"/>
          <w:bCs w:val="0"/>
          <w:snapToGrid w:val="0"/>
          <w:color w:val="auto"/>
          <w:kern w:val="0"/>
          <w:sz w:val="44"/>
          <w:szCs w:val="44"/>
          <w:highlight w:val="none"/>
          <w:lang w:val="en-US" w:eastAsia="zh-CN"/>
        </w:rPr>
        <w:t>国家基本药物制度</w:t>
      </w:r>
      <w:r>
        <w:rPr>
          <w:rFonts w:hint="default" w:ascii="Times New Roman" w:hAnsi="Times New Roman" w:eastAsia="方正小标宋简体" w:cs="Times New Roman"/>
          <w:b w:val="0"/>
          <w:bCs/>
          <w:snapToGrid w:val="0"/>
          <w:color w:val="auto"/>
          <w:kern w:val="0"/>
          <w:sz w:val="44"/>
          <w:szCs w:val="44"/>
          <w:highlight w:val="none"/>
          <w:lang w:val="en-US" w:eastAsia="zh-CN"/>
        </w:rPr>
        <w:t>补助资金</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snapToGrid w:val="0"/>
          <w:color w:val="auto"/>
          <w:kern w:val="0"/>
          <w:sz w:val="44"/>
          <w:szCs w:val="44"/>
          <w:highlight w:val="none"/>
        </w:rPr>
      </w:pPr>
      <w:bookmarkStart w:id="0" w:name="_GoBack"/>
      <w:bookmarkEnd w:id="0"/>
      <w:r>
        <w:rPr>
          <w:rFonts w:hint="default" w:ascii="Times New Roman" w:hAnsi="Times New Roman" w:eastAsia="方正小标宋简体" w:cs="Times New Roman"/>
          <w:b w:val="0"/>
          <w:bCs/>
          <w:snapToGrid w:val="0"/>
          <w:color w:val="auto"/>
          <w:kern w:val="0"/>
          <w:sz w:val="44"/>
          <w:szCs w:val="44"/>
          <w:highlight w:val="none"/>
          <w:lang w:eastAsia="zh-CN"/>
        </w:rPr>
        <w:t>中央</w:t>
      </w:r>
      <w:r>
        <w:rPr>
          <w:rFonts w:hint="default" w:ascii="Times New Roman" w:hAnsi="Times New Roman" w:eastAsia="方正小标宋简体" w:cs="Times New Roman"/>
          <w:b w:val="0"/>
          <w:bCs/>
          <w:snapToGrid w:val="0"/>
          <w:color w:val="auto"/>
          <w:kern w:val="0"/>
          <w:sz w:val="44"/>
          <w:szCs w:val="44"/>
          <w:highlight w:val="none"/>
        </w:rPr>
        <w:t>转移支付20</w:t>
      </w:r>
      <w:r>
        <w:rPr>
          <w:rFonts w:hint="default" w:ascii="Times New Roman" w:hAnsi="Times New Roman" w:eastAsia="方正小标宋简体" w:cs="Times New Roman"/>
          <w:b w:val="0"/>
          <w:bCs/>
          <w:snapToGrid w:val="0"/>
          <w:color w:val="auto"/>
          <w:kern w:val="0"/>
          <w:sz w:val="44"/>
          <w:szCs w:val="44"/>
          <w:highlight w:val="none"/>
          <w:lang w:val="en-US" w:eastAsia="zh-CN"/>
        </w:rPr>
        <w:t>22</w:t>
      </w:r>
      <w:r>
        <w:rPr>
          <w:rFonts w:hint="default" w:ascii="Times New Roman" w:hAnsi="Times New Roman" w:eastAsia="方正小标宋简体" w:cs="Times New Roman"/>
          <w:b w:val="0"/>
          <w:bCs/>
          <w:snapToGrid w:val="0"/>
          <w:color w:val="auto"/>
          <w:kern w:val="0"/>
          <w:sz w:val="44"/>
          <w:szCs w:val="44"/>
          <w:highlight w:val="none"/>
        </w:rPr>
        <w:t>年度绩效自评报告</w:t>
      </w:r>
    </w:p>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640" w:firstLineChars="200"/>
        <w:jc w:val="left"/>
        <w:textAlignment w:val="auto"/>
        <w:rPr>
          <w:rFonts w:hint="default" w:ascii="Times New Roman" w:hAnsi="Times New Roman" w:eastAsia="仿宋_GB2312" w:cs="Times New Roman"/>
          <w:b w:val="0"/>
          <w:bCs/>
          <w:i w:val="0"/>
          <w:caps w:val="0"/>
          <w:snapToGrid w:val="0"/>
          <w:color w:val="auto"/>
          <w:spacing w:val="0"/>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val="0"/>
          <w:color w:val="auto"/>
          <w:kern w:val="0"/>
          <w:sz w:val="32"/>
          <w:szCs w:val="32"/>
          <w:highlight w:val="none"/>
          <w:lang w:val="en-US" w:eastAsia="zh-CN" w:bidi="ar"/>
        </w:rPr>
      </w:pPr>
      <w:r>
        <w:rPr>
          <w:rFonts w:hint="default" w:ascii="Times New Roman" w:hAnsi="Times New Roman" w:eastAsia="仿宋_GB2312" w:cs="Times New Roman"/>
          <w:b w:val="0"/>
          <w:bCs/>
          <w:i w:val="0"/>
          <w:caps w:val="0"/>
          <w:snapToGrid w:val="0"/>
          <w:color w:val="auto"/>
          <w:spacing w:val="0"/>
          <w:sz w:val="32"/>
          <w:szCs w:val="32"/>
          <w:highlight w:val="none"/>
        </w:rPr>
        <w:t>根据《</w:t>
      </w:r>
      <w:r>
        <w:rPr>
          <w:rFonts w:hint="default" w:ascii="Times New Roman" w:hAnsi="Times New Roman" w:eastAsia="仿宋_GB2312" w:cs="Times New Roman"/>
          <w:snapToGrid w:val="0"/>
          <w:color w:val="auto"/>
          <w:kern w:val="0"/>
          <w:sz w:val="32"/>
          <w:szCs w:val="32"/>
          <w:highlight w:val="none"/>
          <w:lang w:val="en-US" w:eastAsia="zh-CN" w:bidi="ar"/>
        </w:rPr>
        <w:t>财政部关于开展2022年度中央对地方转移支付预算执行情况绩效自评工作的通知</w:t>
      </w:r>
      <w:r>
        <w:rPr>
          <w:rFonts w:hint="default" w:ascii="Times New Roman" w:hAnsi="Times New Roman" w:eastAsia="仿宋_GB2312" w:cs="Times New Roman"/>
          <w:b w:val="0"/>
          <w:bCs/>
          <w:i w:val="0"/>
          <w:caps w:val="0"/>
          <w:snapToGrid w:val="0"/>
          <w:color w:val="auto"/>
          <w:spacing w:val="0"/>
          <w:sz w:val="32"/>
          <w:szCs w:val="32"/>
          <w:highlight w:val="none"/>
        </w:rPr>
        <w:t>》</w:t>
      </w:r>
      <w:r>
        <w:rPr>
          <w:rFonts w:hint="default" w:ascii="Times New Roman" w:hAnsi="Times New Roman" w:eastAsia="仿宋_GB2312" w:cs="Times New Roman"/>
          <w:b w:val="0"/>
          <w:bCs w:val="0"/>
          <w:snapToGrid w:val="0"/>
          <w:color w:val="auto"/>
          <w:sz w:val="32"/>
          <w:szCs w:val="32"/>
          <w:highlight w:val="none"/>
          <w:lang w:val="en-US" w:eastAsia="zh-CN"/>
        </w:rPr>
        <w:t>（财监〔2023〕1号）</w:t>
      </w:r>
      <w:r>
        <w:rPr>
          <w:rFonts w:hint="default" w:ascii="Times New Roman" w:hAnsi="Times New Roman" w:eastAsia="仿宋_GB2312" w:cs="Times New Roman"/>
          <w:b w:val="0"/>
          <w:bCs/>
          <w:i w:val="0"/>
          <w:caps w:val="0"/>
          <w:snapToGrid w:val="0"/>
          <w:color w:val="auto"/>
          <w:spacing w:val="0"/>
          <w:sz w:val="32"/>
          <w:szCs w:val="32"/>
          <w:highlight w:val="none"/>
          <w:lang w:val="en-US" w:eastAsia="zh-CN"/>
        </w:rPr>
        <w:t>要求</w:t>
      </w:r>
      <w:r>
        <w:rPr>
          <w:rFonts w:hint="default" w:ascii="Times New Roman" w:hAnsi="Times New Roman" w:eastAsia="仿宋_GB2312" w:cs="Times New Roman"/>
          <w:snapToGrid w:val="0"/>
          <w:color w:val="auto"/>
          <w:kern w:val="0"/>
          <w:sz w:val="32"/>
          <w:szCs w:val="32"/>
          <w:highlight w:val="none"/>
          <w:lang w:val="en-US" w:eastAsia="zh-CN" w:bidi="ar"/>
        </w:rPr>
        <w:t>，我省认真组织开展2022年度中央对地方转移支付预算执行情况</w:t>
      </w:r>
      <w:r>
        <w:rPr>
          <w:rFonts w:hint="default" w:ascii="Times New Roman" w:hAnsi="Times New Roman" w:eastAsia="仿宋_GB2312" w:cs="Times New Roman"/>
          <w:b w:val="0"/>
          <w:bCs/>
          <w:i w:val="0"/>
          <w:caps w:val="0"/>
          <w:snapToGrid w:val="0"/>
          <w:color w:val="auto"/>
          <w:spacing w:val="0"/>
          <w:sz w:val="32"/>
          <w:szCs w:val="32"/>
          <w:highlight w:val="none"/>
        </w:rPr>
        <w:t>绩效</w:t>
      </w:r>
      <w:r>
        <w:rPr>
          <w:rFonts w:hint="default" w:ascii="Times New Roman" w:hAnsi="Times New Roman" w:eastAsia="仿宋_GB2312" w:cs="Times New Roman"/>
          <w:b w:val="0"/>
          <w:bCs/>
          <w:i w:val="0"/>
          <w:caps w:val="0"/>
          <w:snapToGrid w:val="0"/>
          <w:color w:val="auto"/>
          <w:spacing w:val="0"/>
          <w:sz w:val="32"/>
          <w:szCs w:val="32"/>
          <w:highlight w:val="none"/>
          <w:lang w:val="en-US" w:eastAsia="zh-CN"/>
        </w:rPr>
        <w:t>自评</w:t>
      </w:r>
      <w:r>
        <w:rPr>
          <w:rFonts w:hint="default" w:ascii="Times New Roman" w:hAnsi="Times New Roman" w:eastAsia="仿宋_GB2312" w:cs="Times New Roman"/>
          <w:b w:val="0"/>
          <w:bCs/>
          <w:i w:val="0"/>
          <w:caps w:val="0"/>
          <w:snapToGrid w:val="0"/>
          <w:color w:val="auto"/>
          <w:spacing w:val="0"/>
          <w:sz w:val="32"/>
          <w:szCs w:val="32"/>
          <w:highlight w:val="none"/>
        </w:rPr>
        <w:t>工作</w:t>
      </w:r>
      <w:r>
        <w:rPr>
          <w:rFonts w:hint="default" w:ascii="Times New Roman" w:hAnsi="Times New Roman" w:eastAsia="仿宋_GB2312" w:cs="Times New Roman"/>
          <w:b w:val="0"/>
          <w:bCs/>
          <w:i w:val="0"/>
          <w:caps w:val="0"/>
          <w:snapToGrid w:val="0"/>
          <w:color w:val="auto"/>
          <w:spacing w:val="0"/>
          <w:sz w:val="32"/>
          <w:szCs w:val="32"/>
          <w:highlight w:val="none"/>
          <w:lang w:eastAsia="zh-CN"/>
        </w:rPr>
        <w:t>。</w:t>
      </w:r>
      <w:r>
        <w:rPr>
          <w:rFonts w:hint="default" w:ascii="Times New Roman" w:hAnsi="Times New Roman" w:eastAsia="仿宋_GB2312" w:cs="Times New Roman"/>
          <w:snapToGrid w:val="0"/>
          <w:color w:val="auto"/>
          <w:kern w:val="0"/>
          <w:sz w:val="32"/>
          <w:szCs w:val="32"/>
          <w:highlight w:val="none"/>
          <w:lang w:val="en-US" w:eastAsia="zh-CN" w:bidi="ar"/>
        </w:rPr>
        <w:t>现将有关情况报告如下：</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snapToGrid w:val="0"/>
          <w:color w:val="auto"/>
          <w:sz w:val="32"/>
          <w:szCs w:val="32"/>
          <w:highlight w:val="none"/>
          <w:lang w:eastAsia="zh-CN"/>
        </w:rPr>
      </w:pPr>
      <w:r>
        <w:rPr>
          <w:rFonts w:hint="default" w:ascii="Times New Roman" w:hAnsi="Times New Roman" w:eastAsia="黑体" w:cs="Times New Roman"/>
          <w:b w:val="0"/>
          <w:bCs w:val="0"/>
          <w:snapToGrid w:val="0"/>
          <w:color w:val="auto"/>
          <w:sz w:val="32"/>
          <w:szCs w:val="32"/>
          <w:highlight w:val="none"/>
        </w:rPr>
        <w:t>一、绩效目标分解下达情况</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楷体_GB2312" w:hAnsi="楷体_GB2312" w:eastAsia="楷体_GB2312" w:cs="楷体_GB2312"/>
          <w:b w:val="0"/>
          <w:bCs w:val="0"/>
          <w:i w:val="0"/>
          <w:caps w:val="0"/>
          <w:snapToGrid w:val="0"/>
          <w:color w:val="auto"/>
          <w:spacing w:val="0"/>
          <w:sz w:val="32"/>
          <w:szCs w:val="32"/>
          <w:highlight w:val="none"/>
          <w:lang w:val="en-US" w:eastAsia="zh-CN"/>
        </w:rPr>
      </w:pPr>
      <w:r>
        <w:rPr>
          <w:rFonts w:hint="eastAsia" w:ascii="楷体_GB2312" w:hAnsi="楷体_GB2312" w:eastAsia="楷体_GB2312" w:cs="楷体_GB2312"/>
          <w:b w:val="0"/>
          <w:bCs w:val="0"/>
          <w:snapToGrid w:val="0"/>
          <w:color w:val="auto"/>
          <w:sz w:val="32"/>
          <w:szCs w:val="32"/>
          <w:highlight w:val="none"/>
          <w:lang w:val="en-US" w:eastAsia="zh-CN"/>
        </w:rPr>
        <w:t>（一）</w:t>
      </w:r>
      <w:r>
        <w:rPr>
          <w:rFonts w:hint="eastAsia" w:ascii="楷体_GB2312" w:hAnsi="楷体_GB2312" w:eastAsia="楷体_GB2312" w:cs="楷体_GB2312"/>
          <w:b w:val="0"/>
          <w:bCs w:val="0"/>
          <w:snapToGrid w:val="0"/>
          <w:color w:val="auto"/>
          <w:sz w:val="32"/>
          <w:szCs w:val="32"/>
          <w:highlight w:val="none"/>
        </w:rPr>
        <w:t>中央下达</w:t>
      </w:r>
      <w:r>
        <w:rPr>
          <w:rFonts w:hint="eastAsia" w:ascii="楷体_GB2312" w:hAnsi="楷体_GB2312" w:eastAsia="楷体_GB2312" w:cs="楷体_GB2312"/>
          <w:b w:val="0"/>
          <w:bCs w:val="0"/>
          <w:snapToGrid w:val="0"/>
          <w:color w:val="auto"/>
          <w:sz w:val="32"/>
          <w:szCs w:val="32"/>
          <w:highlight w:val="none"/>
          <w:lang w:val="en-US" w:eastAsia="zh-CN"/>
        </w:rPr>
        <w:t>广东省国家基本药物制度</w:t>
      </w:r>
      <w:r>
        <w:rPr>
          <w:rFonts w:hint="eastAsia" w:ascii="楷体_GB2312" w:hAnsi="楷体_GB2312" w:eastAsia="楷体_GB2312" w:cs="楷体_GB2312"/>
          <w:b w:val="0"/>
          <w:bCs w:val="0"/>
          <w:snapToGrid w:val="0"/>
          <w:color w:val="auto"/>
          <w:kern w:val="0"/>
          <w:sz w:val="32"/>
          <w:szCs w:val="32"/>
          <w:highlight w:val="none"/>
          <w:lang w:val="en-US" w:eastAsia="zh-CN" w:bidi="ar"/>
        </w:rPr>
        <w:t>项目</w:t>
      </w:r>
      <w:r>
        <w:rPr>
          <w:rFonts w:hint="eastAsia" w:ascii="楷体_GB2312" w:hAnsi="楷体_GB2312" w:eastAsia="楷体_GB2312" w:cs="楷体_GB2312"/>
          <w:b w:val="0"/>
          <w:bCs w:val="0"/>
          <w:snapToGrid w:val="0"/>
          <w:color w:val="auto"/>
          <w:sz w:val="32"/>
          <w:szCs w:val="32"/>
          <w:highlight w:val="none"/>
        </w:rPr>
        <w:t>转移支付预算和</w:t>
      </w:r>
      <w:r>
        <w:rPr>
          <w:rFonts w:hint="eastAsia" w:ascii="楷体_GB2312" w:hAnsi="楷体_GB2312" w:eastAsia="楷体_GB2312" w:cs="楷体_GB2312"/>
          <w:b w:val="0"/>
          <w:bCs w:val="0"/>
          <w:snapToGrid w:val="0"/>
          <w:color w:val="auto"/>
          <w:sz w:val="32"/>
          <w:szCs w:val="32"/>
          <w:highlight w:val="none"/>
          <w:lang w:val="en-US" w:eastAsia="zh-CN"/>
        </w:rPr>
        <w:t>区域</w:t>
      </w:r>
      <w:r>
        <w:rPr>
          <w:rFonts w:hint="eastAsia" w:ascii="楷体_GB2312" w:hAnsi="楷体_GB2312" w:eastAsia="楷体_GB2312" w:cs="楷体_GB2312"/>
          <w:b w:val="0"/>
          <w:bCs w:val="0"/>
          <w:snapToGrid w:val="0"/>
          <w:color w:val="auto"/>
          <w:sz w:val="32"/>
          <w:szCs w:val="32"/>
          <w:highlight w:val="none"/>
        </w:rPr>
        <w:t>绩效目标情况</w:t>
      </w:r>
      <w:r>
        <w:rPr>
          <w:rFonts w:hint="eastAsia" w:ascii="楷体_GB2312" w:hAnsi="楷体_GB2312" w:eastAsia="楷体_GB2312" w:cs="楷体_GB2312"/>
          <w:b w:val="0"/>
          <w:bCs w:val="0"/>
          <w:snapToGrid w:val="0"/>
          <w:color w:val="auto"/>
          <w:sz w:val="32"/>
          <w:szCs w:val="32"/>
          <w:highlight w:val="none"/>
          <w:lang w:eastAsia="zh-CN"/>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仿宋_GB2312" w:cs="Times New Roman"/>
          <w:b/>
          <w:bCs/>
          <w:snapToGrid w:val="0"/>
          <w:color w:val="auto"/>
          <w:sz w:val="32"/>
          <w:szCs w:val="32"/>
          <w:highlight w:val="none"/>
          <w:lang w:val="en-US" w:eastAsia="zh-CN"/>
        </w:rPr>
      </w:pPr>
      <w:r>
        <w:rPr>
          <w:rFonts w:hint="default" w:ascii="Times New Roman" w:hAnsi="Times New Roman" w:eastAsia="仿宋_GB2312" w:cs="Times New Roman"/>
          <w:b/>
          <w:bCs/>
          <w:snapToGrid w:val="0"/>
          <w:color w:val="auto"/>
          <w:sz w:val="32"/>
          <w:szCs w:val="32"/>
          <w:highlight w:val="none"/>
          <w:lang w:val="en-US" w:eastAsia="zh-CN"/>
        </w:rPr>
        <w:t>1</w:t>
      </w:r>
      <w:r>
        <w:rPr>
          <w:rFonts w:hint="eastAsia" w:ascii="仿宋_GB2312" w:hAnsi="仿宋_GB2312" w:eastAsia="仿宋_GB2312" w:cs="仿宋_GB2312"/>
          <w:b/>
          <w:bCs/>
          <w:snapToGrid w:val="0"/>
          <w:color w:val="auto"/>
          <w:sz w:val="32"/>
          <w:szCs w:val="32"/>
          <w:highlight w:val="none"/>
          <w:lang w:val="en-US" w:eastAsia="zh-CN"/>
        </w:rPr>
        <w:t>.中</w:t>
      </w:r>
      <w:r>
        <w:rPr>
          <w:rFonts w:hint="default" w:ascii="Times New Roman" w:hAnsi="Times New Roman" w:cs="Times New Roman"/>
          <w:b/>
          <w:bCs/>
          <w:snapToGrid w:val="0"/>
          <w:color w:val="auto"/>
          <w:sz w:val="32"/>
          <w:szCs w:val="32"/>
          <w:highlight w:val="none"/>
          <w:lang w:val="en-US" w:eastAsia="zh-CN"/>
        </w:rPr>
        <w:t>央</w:t>
      </w:r>
      <w:r>
        <w:rPr>
          <w:rFonts w:hint="default" w:ascii="Times New Roman" w:hAnsi="Times New Roman" w:eastAsia="仿宋_GB2312" w:cs="Times New Roman"/>
          <w:b/>
          <w:bCs/>
          <w:snapToGrid w:val="0"/>
          <w:color w:val="auto"/>
          <w:sz w:val="32"/>
          <w:szCs w:val="32"/>
          <w:highlight w:val="none"/>
        </w:rPr>
        <w:t>转移支付预算</w:t>
      </w:r>
      <w:r>
        <w:rPr>
          <w:rFonts w:hint="default" w:ascii="Times New Roman" w:hAnsi="Times New Roman" w:eastAsia="仿宋_GB2312" w:cs="Times New Roman"/>
          <w:b/>
          <w:bCs/>
          <w:snapToGrid w:val="0"/>
          <w:color w:val="auto"/>
          <w:sz w:val="32"/>
          <w:szCs w:val="32"/>
          <w:highlight w:val="none"/>
          <w:lang w:val="en-US" w:eastAsia="zh-CN"/>
        </w:rPr>
        <w:t>情况</w:t>
      </w:r>
      <w:r>
        <w:rPr>
          <w:rFonts w:hint="eastAsia" w:cs="Times New Roman"/>
          <w:b/>
          <w:bCs/>
          <w:snapToGrid w:val="0"/>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bCs/>
          <w:i w:val="0"/>
          <w:caps w:val="0"/>
          <w:snapToGrid w:val="0"/>
          <w:color w:val="auto"/>
          <w:spacing w:val="0"/>
          <w:sz w:val="32"/>
          <w:szCs w:val="32"/>
          <w:highlight w:val="none"/>
          <w:lang w:val="en-US" w:eastAsia="zh-CN"/>
        </w:rPr>
      </w:pPr>
      <w:r>
        <w:rPr>
          <w:rFonts w:hint="default" w:ascii="Times New Roman" w:hAnsi="Times New Roman" w:eastAsia="仿宋_GB2312" w:cs="Times New Roman"/>
          <w:b w:val="0"/>
          <w:bCs w:val="0"/>
          <w:snapToGrid w:val="0"/>
          <w:color w:val="auto"/>
          <w:sz w:val="32"/>
          <w:szCs w:val="32"/>
          <w:highlight w:val="none"/>
          <w:lang w:val="en-US" w:eastAsia="zh-CN"/>
        </w:rPr>
        <w:t>根据《财政部 国家卫生健康委关于提前下达2022年基本药物制度补助资金预算的通知》（财社〔2021〕170号）和《财政部 国家卫生健康委关于下达2022年基本药物制度补助资金预算的通知》（财社〔2022〕51号），中央财政</w:t>
      </w:r>
      <w:r>
        <w:rPr>
          <w:rFonts w:hint="default" w:ascii="Times New Roman" w:hAnsi="Times New Roman" w:eastAsia="仿宋_GB2312" w:cs="Times New Roman"/>
          <w:snapToGrid w:val="0"/>
          <w:color w:val="auto"/>
          <w:kern w:val="0"/>
          <w:sz w:val="32"/>
          <w:szCs w:val="32"/>
          <w:highlight w:val="none"/>
        </w:rPr>
        <w:t>下达</w:t>
      </w:r>
      <w:r>
        <w:rPr>
          <w:rFonts w:hint="default" w:ascii="Times New Roman" w:hAnsi="Times New Roman" w:eastAsia="仿宋_GB2312" w:cs="Times New Roman"/>
          <w:snapToGrid w:val="0"/>
          <w:color w:val="auto"/>
          <w:kern w:val="0"/>
          <w:sz w:val="32"/>
          <w:szCs w:val="32"/>
          <w:highlight w:val="none"/>
          <w:lang w:eastAsia="zh-CN"/>
        </w:rPr>
        <w:t>我省</w:t>
      </w:r>
      <w:r>
        <w:rPr>
          <w:rFonts w:hint="default" w:ascii="Times New Roman" w:hAnsi="Times New Roman" w:eastAsia="仿宋_GB2312" w:cs="Times New Roman"/>
          <w:snapToGrid w:val="0"/>
          <w:color w:val="auto"/>
          <w:kern w:val="0"/>
          <w:sz w:val="32"/>
          <w:szCs w:val="32"/>
          <w:highlight w:val="none"/>
        </w:rPr>
        <w:t>20</w:t>
      </w:r>
      <w:r>
        <w:rPr>
          <w:rFonts w:hint="default" w:ascii="Times New Roman" w:hAnsi="Times New Roman" w:eastAsia="仿宋_GB2312" w:cs="Times New Roman"/>
          <w:snapToGrid w:val="0"/>
          <w:color w:val="auto"/>
          <w:kern w:val="0"/>
          <w:sz w:val="32"/>
          <w:szCs w:val="32"/>
          <w:highlight w:val="none"/>
          <w:lang w:val="en-US" w:eastAsia="zh-CN"/>
        </w:rPr>
        <w:t>22</w:t>
      </w:r>
      <w:r>
        <w:rPr>
          <w:rFonts w:hint="default" w:ascii="Times New Roman" w:hAnsi="Times New Roman" w:eastAsia="仿宋_GB2312" w:cs="Times New Roman"/>
          <w:snapToGrid w:val="0"/>
          <w:color w:val="auto"/>
          <w:kern w:val="0"/>
          <w:sz w:val="32"/>
          <w:szCs w:val="32"/>
          <w:highlight w:val="none"/>
        </w:rPr>
        <w:t>年基本药物</w:t>
      </w:r>
      <w:r>
        <w:rPr>
          <w:rFonts w:hint="default" w:ascii="Times New Roman" w:hAnsi="Times New Roman" w:eastAsia="仿宋_GB2312" w:cs="Times New Roman"/>
          <w:snapToGrid w:val="0"/>
          <w:color w:val="auto"/>
          <w:kern w:val="0"/>
          <w:sz w:val="32"/>
          <w:szCs w:val="32"/>
          <w:highlight w:val="none"/>
          <w:lang w:eastAsia="zh-CN"/>
        </w:rPr>
        <w:t>制度</w:t>
      </w:r>
      <w:r>
        <w:rPr>
          <w:rFonts w:hint="default" w:ascii="Times New Roman" w:hAnsi="Times New Roman" w:eastAsia="仿宋_GB2312" w:cs="Times New Roman"/>
          <w:snapToGrid w:val="0"/>
          <w:color w:val="auto"/>
          <w:kern w:val="0"/>
          <w:sz w:val="32"/>
          <w:szCs w:val="32"/>
          <w:highlight w:val="none"/>
        </w:rPr>
        <w:t>补助资金</w:t>
      </w:r>
      <w:r>
        <w:rPr>
          <w:rFonts w:hint="default" w:ascii="Times New Roman" w:hAnsi="Times New Roman" w:eastAsia="仿宋_GB2312" w:cs="Times New Roman"/>
          <w:snapToGrid w:val="0"/>
          <w:color w:val="auto"/>
          <w:kern w:val="0"/>
          <w:sz w:val="32"/>
          <w:szCs w:val="32"/>
          <w:highlight w:val="none"/>
          <w:lang w:val="en-US" w:eastAsia="zh-CN"/>
        </w:rPr>
        <w:t>合计24,760.00</w:t>
      </w:r>
      <w:r>
        <w:rPr>
          <w:rFonts w:hint="default" w:ascii="Times New Roman" w:hAnsi="Times New Roman" w:eastAsia="仿宋_GB2312" w:cs="Times New Roman"/>
          <w:snapToGrid w:val="0"/>
          <w:color w:val="auto"/>
          <w:kern w:val="0"/>
          <w:sz w:val="32"/>
          <w:szCs w:val="32"/>
          <w:highlight w:val="none"/>
        </w:rPr>
        <w:t>万元（</w:t>
      </w:r>
      <w:r>
        <w:rPr>
          <w:rFonts w:hint="default" w:ascii="Times New Roman" w:hAnsi="Times New Roman" w:eastAsia="仿宋_GB2312" w:cs="Times New Roman"/>
          <w:snapToGrid w:val="0"/>
          <w:color w:val="auto"/>
          <w:kern w:val="0"/>
          <w:sz w:val="32"/>
          <w:szCs w:val="32"/>
          <w:highlight w:val="none"/>
          <w:lang w:eastAsia="zh-CN"/>
        </w:rPr>
        <w:t>不</w:t>
      </w:r>
      <w:r>
        <w:rPr>
          <w:rFonts w:hint="default" w:ascii="Times New Roman" w:hAnsi="Times New Roman" w:eastAsia="仿宋_GB2312" w:cs="Times New Roman"/>
          <w:snapToGrid w:val="0"/>
          <w:color w:val="auto"/>
          <w:kern w:val="0"/>
          <w:sz w:val="32"/>
          <w:szCs w:val="32"/>
          <w:highlight w:val="none"/>
        </w:rPr>
        <w:t>含</w:t>
      </w:r>
      <w:r>
        <w:rPr>
          <w:rFonts w:hint="default" w:ascii="Times New Roman" w:hAnsi="Times New Roman" w:eastAsia="仿宋_GB2312" w:cs="Times New Roman"/>
          <w:snapToGrid w:val="0"/>
          <w:color w:val="auto"/>
          <w:kern w:val="0"/>
          <w:sz w:val="32"/>
          <w:szCs w:val="32"/>
          <w:highlight w:val="none"/>
          <w:lang w:eastAsia="zh-CN"/>
        </w:rPr>
        <w:t>中央下达</w:t>
      </w:r>
      <w:r>
        <w:rPr>
          <w:rFonts w:hint="default" w:ascii="Times New Roman" w:hAnsi="Times New Roman" w:eastAsia="仿宋_GB2312" w:cs="Times New Roman"/>
          <w:snapToGrid w:val="0"/>
          <w:color w:val="auto"/>
          <w:kern w:val="0"/>
          <w:sz w:val="32"/>
          <w:szCs w:val="32"/>
          <w:highlight w:val="none"/>
        </w:rPr>
        <w:t>深圳</w:t>
      </w:r>
      <w:r>
        <w:rPr>
          <w:rFonts w:hint="default" w:ascii="Times New Roman" w:hAnsi="Times New Roman" w:eastAsia="仿宋_GB2312" w:cs="Times New Roman"/>
          <w:snapToGrid w:val="0"/>
          <w:color w:val="auto"/>
          <w:kern w:val="0"/>
          <w:sz w:val="32"/>
          <w:szCs w:val="32"/>
          <w:highlight w:val="none"/>
          <w:lang w:val="en-US" w:eastAsia="zh-CN"/>
        </w:rPr>
        <w:t>，下同</w:t>
      </w:r>
      <w:r>
        <w:rPr>
          <w:rFonts w:hint="default" w:ascii="Times New Roman" w:hAnsi="Times New Roman" w:eastAsia="仿宋_GB2312" w:cs="Times New Roman"/>
          <w:snapToGrid w:val="0"/>
          <w:color w:val="auto"/>
          <w:kern w:val="0"/>
          <w:sz w:val="32"/>
          <w:szCs w:val="32"/>
          <w:highlight w:val="none"/>
        </w:rPr>
        <w:t>）</w:t>
      </w:r>
      <w:r>
        <w:rPr>
          <w:rFonts w:hint="default" w:ascii="Times New Roman" w:hAnsi="Times New Roman" w:eastAsia="仿宋_GB2312" w:cs="Times New Roman"/>
          <w:snapToGrid w:val="0"/>
          <w:color w:val="auto"/>
          <w:kern w:val="0"/>
          <w:sz w:val="32"/>
          <w:szCs w:val="32"/>
          <w:highlight w:val="none"/>
          <w:lang w:eastAsia="zh-CN"/>
        </w:rPr>
        <w:t>，其中，</w:t>
      </w:r>
      <w:r>
        <w:rPr>
          <w:rFonts w:hint="default" w:ascii="Times New Roman" w:hAnsi="Times New Roman" w:eastAsia="仿宋_GB2312" w:cs="Times New Roman"/>
          <w:snapToGrid w:val="0"/>
          <w:color w:val="auto"/>
          <w:kern w:val="0"/>
          <w:sz w:val="32"/>
          <w:szCs w:val="32"/>
          <w:highlight w:val="none"/>
        </w:rPr>
        <w:t>基层医疗卫生机构实施基本药物制度</w:t>
      </w:r>
      <w:r>
        <w:rPr>
          <w:rFonts w:hint="default" w:ascii="Times New Roman" w:hAnsi="Times New Roman" w:eastAsia="仿宋_GB2312" w:cs="Times New Roman"/>
          <w:snapToGrid w:val="0"/>
          <w:color w:val="auto"/>
          <w:kern w:val="0"/>
          <w:sz w:val="32"/>
          <w:szCs w:val="32"/>
          <w:highlight w:val="none"/>
          <w:lang w:val="en-US" w:eastAsia="zh-CN"/>
        </w:rPr>
        <w:t>14,025.00</w:t>
      </w:r>
      <w:r>
        <w:rPr>
          <w:rFonts w:hint="default" w:ascii="Times New Roman" w:hAnsi="Times New Roman" w:eastAsia="仿宋_GB2312" w:cs="Times New Roman"/>
          <w:snapToGrid w:val="0"/>
          <w:color w:val="auto"/>
          <w:kern w:val="0"/>
          <w:sz w:val="32"/>
          <w:szCs w:val="32"/>
          <w:highlight w:val="none"/>
        </w:rPr>
        <w:t>万元、村卫生室实施基本药物制度</w:t>
      </w:r>
      <w:r>
        <w:rPr>
          <w:rFonts w:hint="default" w:ascii="Times New Roman" w:hAnsi="Times New Roman" w:eastAsia="仿宋_GB2312" w:cs="Times New Roman"/>
          <w:snapToGrid w:val="0"/>
          <w:color w:val="auto"/>
          <w:kern w:val="0"/>
          <w:sz w:val="32"/>
          <w:szCs w:val="32"/>
          <w:highlight w:val="none"/>
          <w:lang w:val="en-US" w:eastAsia="zh-CN"/>
        </w:rPr>
        <w:t>10,735.00</w:t>
      </w:r>
      <w:r>
        <w:rPr>
          <w:rFonts w:hint="default" w:ascii="Times New Roman" w:hAnsi="Times New Roman" w:eastAsia="仿宋_GB2312" w:cs="Times New Roman"/>
          <w:snapToGrid w:val="0"/>
          <w:color w:val="auto"/>
          <w:kern w:val="0"/>
          <w:sz w:val="32"/>
          <w:szCs w:val="32"/>
          <w:highlight w:val="none"/>
        </w:rPr>
        <w:t>万元</w:t>
      </w:r>
      <w:r>
        <w:rPr>
          <w:rFonts w:hint="default" w:ascii="Times New Roman" w:hAnsi="Times New Roman" w:eastAsia="仿宋_GB2312" w:cs="Times New Roman"/>
          <w:b w:val="0"/>
          <w:bCs w:val="0"/>
          <w:i w:val="0"/>
          <w:caps w:val="0"/>
          <w:snapToGrid w:val="0"/>
          <w:color w:val="auto"/>
          <w:spacing w:val="0"/>
          <w:sz w:val="32"/>
          <w:szCs w:val="32"/>
          <w:highlight w:val="none"/>
          <w:lang w:val="en-US"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napToGrid w:val="0"/>
          <w:color w:val="auto"/>
          <w:kern w:val="0"/>
          <w:sz w:val="32"/>
          <w:szCs w:val="32"/>
          <w:highlight w:val="none"/>
          <w:lang w:val="en-US" w:eastAsia="zh-CN" w:bidi="ar"/>
        </w:rPr>
      </w:pPr>
      <w:r>
        <w:rPr>
          <w:rFonts w:hint="default" w:ascii="Times New Roman" w:hAnsi="Times New Roman" w:eastAsia="仿宋_GB2312" w:cs="Times New Roman"/>
          <w:b/>
          <w:bCs/>
          <w:i w:val="0"/>
          <w:caps w:val="0"/>
          <w:snapToGrid w:val="0"/>
          <w:color w:val="auto"/>
          <w:spacing w:val="0"/>
          <w:sz w:val="32"/>
          <w:szCs w:val="32"/>
          <w:highlight w:val="none"/>
          <w:lang w:val="en-US" w:eastAsia="zh-CN"/>
        </w:rPr>
        <w:t>2</w:t>
      </w:r>
      <w:r>
        <w:rPr>
          <w:rFonts w:hint="default" w:ascii="仿宋_GB2312" w:hAnsi="仿宋_GB2312" w:eastAsia="仿宋_GB2312" w:cs="仿宋_GB2312"/>
          <w:b/>
          <w:bCs/>
          <w:snapToGrid w:val="0"/>
          <w:color w:val="auto"/>
          <w:kern w:val="0"/>
          <w:sz w:val="32"/>
          <w:szCs w:val="32"/>
          <w:highlight w:val="none"/>
          <w:lang w:val="en-US" w:eastAsia="zh-CN" w:bidi="ar-SA"/>
        </w:rPr>
        <w:t>.中</w:t>
      </w:r>
      <w:r>
        <w:rPr>
          <w:rFonts w:hint="default" w:ascii="Times New Roman" w:hAnsi="Times New Roman" w:cs="Times New Roman"/>
          <w:b/>
          <w:bCs/>
          <w:i w:val="0"/>
          <w:caps w:val="0"/>
          <w:snapToGrid w:val="0"/>
          <w:color w:val="auto"/>
          <w:spacing w:val="0"/>
          <w:sz w:val="32"/>
          <w:szCs w:val="32"/>
          <w:highlight w:val="none"/>
          <w:lang w:val="en-US" w:eastAsia="zh-CN"/>
        </w:rPr>
        <w:t>央</w:t>
      </w:r>
      <w:r>
        <w:rPr>
          <w:rFonts w:hint="default" w:ascii="Times New Roman" w:hAnsi="Times New Roman" w:eastAsia="仿宋_GB2312" w:cs="Times New Roman"/>
          <w:b/>
          <w:bCs/>
          <w:i w:val="0"/>
          <w:caps w:val="0"/>
          <w:snapToGrid w:val="0"/>
          <w:color w:val="auto"/>
          <w:spacing w:val="0"/>
          <w:sz w:val="32"/>
          <w:szCs w:val="32"/>
          <w:highlight w:val="none"/>
          <w:lang w:val="en-US" w:eastAsia="zh-CN"/>
        </w:rPr>
        <w:t>区域绩效目标情况</w:t>
      </w:r>
      <w:r>
        <w:rPr>
          <w:rFonts w:hint="eastAsia" w:ascii="Times New Roman" w:hAnsi="Times New Roman" w:cs="Times New Roman"/>
          <w:b/>
          <w:bCs/>
          <w:i w:val="0"/>
          <w:caps w:val="0"/>
          <w:snapToGrid w:val="0"/>
          <w:color w:val="auto"/>
          <w:spacing w:val="0"/>
          <w:sz w:val="32"/>
          <w:szCs w:val="32"/>
          <w:highlight w:val="none"/>
          <w:lang w:val="en-US"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napToGrid w:val="0"/>
          <w:color w:val="auto"/>
          <w:sz w:val="32"/>
          <w:szCs w:val="32"/>
          <w:highlight w:val="none"/>
          <w:lang w:val="en-US" w:eastAsia="zh-CN"/>
        </w:rPr>
      </w:pPr>
      <w:r>
        <w:rPr>
          <w:rFonts w:hint="default" w:ascii="Times New Roman" w:hAnsi="Times New Roman" w:eastAsia="仿宋_GB2312" w:cs="Times New Roman"/>
          <w:snapToGrid w:val="0"/>
          <w:color w:val="auto"/>
          <w:kern w:val="0"/>
          <w:sz w:val="32"/>
          <w:szCs w:val="32"/>
          <w:highlight w:val="none"/>
          <w:lang w:val="en-US" w:eastAsia="zh-CN" w:bidi="ar"/>
        </w:rPr>
        <w:t>根据《中央对地方专项转移支付区域绩效目标表》，中央下达了我省2022年</w:t>
      </w:r>
      <w:r>
        <w:rPr>
          <w:rFonts w:hint="default" w:ascii="Times New Roman" w:hAnsi="Times New Roman" w:eastAsia="仿宋_GB2312" w:cs="Times New Roman"/>
          <w:b w:val="0"/>
          <w:bCs w:val="0"/>
          <w:snapToGrid w:val="0"/>
          <w:color w:val="auto"/>
          <w:kern w:val="0"/>
          <w:sz w:val="32"/>
          <w:szCs w:val="32"/>
          <w:highlight w:val="none"/>
          <w:lang w:val="en-US" w:eastAsia="zh-CN" w:bidi="ar"/>
        </w:rPr>
        <w:t>中央财政补助</w:t>
      </w:r>
      <w:r>
        <w:rPr>
          <w:rFonts w:hint="default" w:ascii="Times New Roman" w:hAnsi="Times New Roman" w:eastAsia="仿宋_GB2312" w:cs="Times New Roman"/>
          <w:snapToGrid w:val="0"/>
          <w:color w:val="auto"/>
          <w:kern w:val="0"/>
          <w:sz w:val="32"/>
          <w:szCs w:val="32"/>
          <w:highlight w:val="none"/>
          <w:lang w:val="en-US" w:eastAsia="zh-CN" w:bidi="ar"/>
        </w:rPr>
        <w:t>国家基本药物制度</w:t>
      </w:r>
      <w:r>
        <w:rPr>
          <w:rFonts w:hint="default" w:ascii="Times New Roman" w:hAnsi="Times New Roman" w:eastAsia="仿宋_GB2312" w:cs="Times New Roman"/>
          <w:b w:val="0"/>
          <w:bCs w:val="0"/>
          <w:snapToGrid w:val="0"/>
          <w:color w:val="auto"/>
          <w:kern w:val="0"/>
          <w:sz w:val="32"/>
          <w:szCs w:val="32"/>
          <w:highlight w:val="none"/>
          <w:lang w:val="en-US" w:eastAsia="zh-CN" w:bidi="ar"/>
        </w:rPr>
        <w:t>项目</w:t>
      </w:r>
      <w:r>
        <w:rPr>
          <w:rFonts w:hint="default" w:ascii="Times New Roman" w:hAnsi="Times New Roman" w:eastAsia="仿宋_GB2312" w:cs="Times New Roman"/>
          <w:snapToGrid w:val="0"/>
          <w:color w:val="auto"/>
          <w:kern w:val="0"/>
          <w:sz w:val="32"/>
          <w:szCs w:val="32"/>
          <w:highlight w:val="none"/>
          <w:lang w:val="en-US" w:eastAsia="zh-CN" w:bidi="ar"/>
        </w:rPr>
        <w:t>年度</w:t>
      </w:r>
      <w:r>
        <w:rPr>
          <w:rFonts w:hint="default" w:ascii="Times New Roman" w:hAnsi="Times New Roman" w:eastAsia="仿宋_GB2312" w:cs="Times New Roman"/>
          <w:b w:val="0"/>
          <w:bCs w:val="0"/>
          <w:snapToGrid w:val="0"/>
          <w:color w:val="auto"/>
          <w:sz w:val="32"/>
          <w:szCs w:val="32"/>
          <w:highlight w:val="none"/>
          <w:lang w:val="en-US" w:eastAsia="zh-CN"/>
        </w:rPr>
        <w:t>总体</w:t>
      </w:r>
      <w:r>
        <w:rPr>
          <w:rFonts w:hint="default" w:ascii="Times New Roman" w:hAnsi="Times New Roman" w:eastAsia="仿宋_GB2312" w:cs="Times New Roman"/>
          <w:b w:val="0"/>
          <w:bCs w:val="0"/>
          <w:snapToGrid w:val="0"/>
          <w:color w:val="auto"/>
          <w:sz w:val="32"/>
          <w:szCs w:val="32"/>
          <w:highlight w:val="none"/>
        </w:rPr>
        <w:t>绩效目标</w:t>
      </w:r>
      <w:r>
        <w:rPr>
          <w:rFonts w:hint="default" w:ascii="Times New Roman" w:hAnsi="Times New Roman" w:eastAsia="仿宋_GB2312" w:cs="Times New Roman"/>
          <w:b w:val="0"/>
          <w:bCs w:val="0"/>
          <w:snapToGrid w:val="0"/>
          <w:color w:val="auto"/>
          <w:sz w:val="32"/>
          <w:szCs w:val="32"/>
          <w:highlight w:val="none"/>
          <w:lang w:val="en-US" w:eastAsia="zh-CN"/>
        </w:rPr>
        <w:t>和绩效指标。</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firstLine="646" w:firstLineChars="201"/>
        <w:jc w:val="both"/>
        <w:textAlignment w:val="auto"/>
        <w:rPr>
          <w:rFonts w:hint="eastAsia" w:ascii="Times New Roman" w:hAnsi="Times New Roman" w:eastAsia="仿宋_GB2312" w:cs="Times New Roman"/>
          <w:b/>
          <w:bCs/>
          <w:snapToGrid w:val="0"/>
          <w:color w:val="auto"/>
          <w:sz w:val="32"/>
          <w:szCs w:val="32"/>
          <w:highlight w:val="none"/>
          <w:lang w:eastAsia="zh-CN"/>
        </w:rPr>
      </w:pPr>
      <w:r>
        <w:rPr>
          <w:rFonts w:hint="default" w:ascii="Times New Roman" w:hAnsi="Times New Roman" w:eastAsia="仿宋_GB2312" w:cs="Times New Roman"/>
          <w:b/>
          <w:bCs/>
          <w:snapToGrid w:val="0"/>
          <w:color w:val="auto"/>
          <w:sz w:val="32"/>
          <w:szCs w:val="32"/>
          <w:highlight w:val="none"/>
          <w:lang w:val="en-US" w:eastAsia="zh-CN"/>
        </w:rPr>
        <w:t>（1）</w:t>
      </w:r>
      <w:r>
        <w:rPr>
          <w:rFonts w:hint="default" w:ascii="Times New Roman" w:hAnsi="Times New Roman" w:cs="Times New Roman"/>
          <w:b/>
          <w:bCs/>
          <w:i w:val="0"/>
          <w:caps w:val="0"/>
          <w:snapToGrid w:val="0"/>
          <w:color w:val="auto"/>
          <w:spacing w:val="0"/>
          <w:sz w:val="32"/>
          <w:szCs w:val="32"/>
          <w:highlight w:val="none"/>
          <w:lang w:val="en-US" w:eastAsia="zh-CN"/>
        </w:rPr>
        <w:t>中央</w:t>
      </w:r>
      <w:r>
        <w:rPr>
          <w:rFonts w:hint="default" w:ascii="Times New Roman" w:hAnsi="Times New Roman" w:eastAsia="仿宋_GB2312" w:cs="Times New Roman"/>
          <w:b/>
          <w:bCs/>
          <w:snapToGrid w:val="0"/>
          <w:color w:val="auto"/>
          <w:kern w:val="0"/>
          <w:sz w:val="32"/>
          <w:szCs w:val="32"/>
          <w:highlight w:val="none"/>
          <w:lang w:val="en-US" w:eastAsia="zh-CN" w:bidi="ar"/>
        </w:rPr>
        <w:t>年度</w:t>
      </w:r>
      <w:r>
        <w:rPr>
          <w:rFonts w:hint="default" w:ascii="Times New Roman" w:hAnsi="Times New Roman" w:eastAsia="仿宋_GB2312" w:cs="Times New Roman"/>
          <w:b/>
          <w:bCs/>
          <w:snapToGrid w:val="0"/>
          <w:color w:val="auto"/>
          <w:sz w:val="32"/>
          <w:szCs w:val="32"/>
          <w:highlight w:val="none"/>
          <w:lang w:val="en-US" w:eastAsia="zh-CN"/>
        </w:rPr>
        <w:t>总体</w:t>
      </w:r>
      <w:r>
        <w:rPr>
          <w:rFonts w:hint="default" w:ascii="Times New Roman" w:hAnsi="Times New Roman" w:eastAsia="仿宋_GB2312" w:cs="Times New Roman"/>
          <w:b/>
          <w:bCs/>
          <w:snapToGrid w:val="0"/>
          <w:color w:val="auto"/>
          <w:sz w:val="32"/>
          <w:szCs w:val="32"/>
          <w:highlight w:val="none"/>
        </w:rPr>
        <w:t>绩效目标</w:t>
      </w:r>
      <w:r>
        <w:rPr>
          <w:rFonts w:hint="eastAsia" w:cs="Times New Roman"/>
          <w:b/>
          <w:bCs/>
          <w:snapToGrid w:val="0"/>
          <w:color w:val="auto"/>
          <w:sz w:val="32"/>
          <w:szCs w:val="32"/>
          <w:highlight w:val="none"/>
          <w:lang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val="0"/>
          <w:color w:val="auto"/>
          <w:kern w:val="0"/>
          <w:sz w:val="32"/>
          <w:szCs w:val="32"/>
          <w:highlight w:val="none"/>
          <w:lang w:val="en-US" w:eastAsia="zh-CN" w:bidi="ar"/>
        </w:rPr>
      </w:pPr>
      <w:r>
        <w:rPr>
          <w:rFonts w:hint="default" w:ascii="Times New Roman" w:hAnsi="Times New Roman" w:eastAsia="仿宋_GB2312" w:cs="Times New Roman"/>
          <w:snapToGrid w:val="0"/>
          <w:color w:val="auto"/>
          <w:kern w:val="0"/>
          <w:sz w:val="32"/>
          <w:szCs w:val="32"/>
          <w:highlight w:val="none"/>
          <w:lang w:val="en-US" w:eastAsia="zh-CN" w:bidi="ar"/>
        </w:rPr>
        <w:t>2022年</w:t>
      </w:r>
      <w:r>
        <w:rPr>
          <w:rFonts w:hint="default" w:ascii="Times New Roman" w:hAnsi="Times New Roman" w:eastAsia="仿宋_GB2312" w:cs="Times New Roman"/>
          <w:b w:val="0"/>
          <w:bCs w:val="0"/>
          <w:snapToGrid w:val="0"/>
          <w:color w:val="auto"/>
          <w:kern w:val="0"/>
          <w:sz w:val="32"/>
          <w:szCs w:val="32"/>
          <w:highlight w:val="none"/>
          <w:lang w:val="en-US" w:eastAsia="zh-CN" w:bidi="ar"/>
        </w:rPr>
        <w:t>中央财政补助</w:t>
      </w:r>
      <w:r>
        <w:rPr>
          <w:rFonts w:hint="default" w:ascii="Times New Roman" w:hAnsi="Times New Roman" w:eastAsia="仿宋_GB2312" w:cs="Times New Roman"/>
          <w:b w:val="0"/>
          <w:bCs/>
          <w:snapToGrid w:val="0"/>
          <w:color w:val="auto"/>
          <w:kern w:val="0"/>
          <w:sz w:val="32"/>
          <w:szCs w:val="32"/>
          <w:highlight w:val="none"/>
          <w:lang w:val="en-US" w:eastAsia="zh-CN" w:bidi="ar"/>
        </w:rPr>
        <w:t>国家基本药物制度项目</w:t>
      </w:r>
      <w:r>
        <w:rPr>
          <w:rFonts w:hint="default" w:ascii="Times New Roman" w:hAnsi="Times New Roman" w:eastAsia="仿宋_GB2312" w:cs="Times New Roman"/>
          <w:snapToGrid w:val="0"/>
          <w:color w:val="auto"/>
          <w:kern w:val="0"/>
          <w:sz w:val="32"/>
          <w:szCs w:val="32"/>
          <w:highlight w:val="none"/>
          <w:lang w:val="en-US" w:eastAsia="zh-CN" w:bidi="ar"/>
        </w:rPr>
        <w:t>年度</w:t>
      </w:r>
      <w:r>
        <w:rPr>
          <w:rFonts w:hint="default" w:ascii="Times New Roman" w:hAnsi="Times New Roman" w:eastAsia="仿宋_GB2312" w:cs="Times New Roman"/>
          <w:b w:val="0"/>
          <w:bCs w:val="0"/>
          <w:snapToGrid w:val="0"/>
          <w:color w:val="auto"/>
          <w:sz w:val="32"/>
          <w:szCs w:val="32"/>
          <w:highlight w:val="none"/>
          <w:lang w:val="en-US" w:eastAsia="zh-CN"/>
        </w:rPr>
        <w:t>总体</w:t>
      </w:r>
      <w:r>
        <w:rPr>
          <w:rFonts w:hint="default" w:ascii="Times New Roman" w:hAnsi="Times New Roman" w:eastAsia="仿宋_GB2312" w:cs="Times New Roman"/>
          <w:b w:val="0"/>
          <w:bCs w:val="0"/>
          <w:snapToGrid w:val="0"/>
          <w:color w:val="auto"/>
          <w:sz w:val="32"/>
          <w:szCs w:val="32"/>
          <w:highlight w:val="none"/>
        </w:rPr>
        <w:t>绩效目标</w:t>
      </w:r>
      <w:r>
        <w:rPr>
          <w:rFonts w:hint="default" w:ascii="Times New Roman" w:hAnsi="Times New Roman" w:eastAsia="仿宋_GB2312" w:cs="Times New Roman"/>
          <w:b w:val="0"/>
          <w:bCs w:val="0"/>
          <w:snapToGrid w:val="0"/>
          <w:color w:val="auto"/>
          <w:sz w:val="32"/>
          <w:szCs w:val="32"/>
          <w:highlight w:val="none"/>
          <w:lang w:val="en-US" w:eastAsia="zh-CN"/>
        </w:rPr>
        <w:t>包括：</w:t>
      </w:r>
      <w:r>
        <w:rPr>
          <w:rFonts w:hint="default" w:ascii="Times New Roman" w:hAnsi="Times New Roman" w:eastAsia="仿宋_GB2312" w:cs="Times New Roman"/>
          <w:snapToGrid w:val="0"/>
          <w:color w:val="auto"/>
          <w:kern w:val="0"/>
          <w:sz w:val="32"/>
          <w:szCs w:val="32"/>
          <w:highlight w:val="none"/>
          <w:lang w:val="en-US" w:eastAsia="zh-CN" w:bidi="ar"/>
        </w:rPr>
        <w:t>1</w:t>
      </w:r>
      <w:r>
        <w:rPr>
          <w:rFonts w:hint="default" w:ascii="Times New Roman" w:hAnsi="Times New Roman" w:cs="Times New Roman"/>
          <w:snapToGrid w:val="0"/>
          <w:color w:val="auto"/>
          <w:kern w:val="0"/>
          <w:sz w:val="32"/>
          <w:szCs w:val="32"/>
          <w:highlight w:val="none"/>
          <w:lang w:val="en-US" w:eastAsia="zh-CN" w:bidi="ar"/>
        </w:rPr>
        <w:t>.</w:t>
      </w:r>
      <w:r>
        <w:rPr>
          <w:rFonts w:hint="default" w:ascii="Times New Roman" w:hAnsi="Times New Roman" w:eastAsia="仿宋_GB2312" w:cs="Times New Roman"/>
          <w:snapToGrid w:val="0"/>
          <w:color w:val="auto"/>
          <w:kern w:val="0"/>
          <w:sz w:val="32"/>
          <w:szCs w:val="32"/>
          <w:highlight w:val="none"/>
          <w:lang w:val="en-US" w:eastAsia="zh-CN" w:bidi="ar"/>
        </w:rPr>
        <w:t>基层医疗卫生机构按要求实施基本药物制度。2</w:t>
      </w:r>
      <w:r>
        <w:rPr>
          <w:rFonts w:hint="default" w:ascii="Times New Roman" w:hAnsi="Times New Roman" w:cs="Times New Roman"/>
          <w:snapToGrid w:val="0"/>
          <w:color w:val="auto"/>
          <w:kern w:val="0"/>
          <w:sz w:val="32"/>
          <w:szCs w:val="32"/>
          <w:highlight w:val="none"/>
          <w:lang w:val="en-US" w:eastAsia="zh-CN" w:bidi="ar"/>
        </w:rPr>
        <w:t>.</w:t>
      </w:r>
      <w:r>
        <w:rPr>
          <w:rFonts w:hint="default" w:ascii="Times New Roman" w:hAnsi="Times New Roman" w:eastAsia="仿宋_GB2312" w:cs="Times New Roman"/>
          <w:snapToGrid w:val="0"/>
          <w:color w:val="auto"/>
          <w:kern w:val="0"/>
          <w:sz w:val="32"/>
          <w:szCs w:val="32"/>
          <w:highlight w:val="none"/>
          <w:lang w:val="en-US" w:eastAsia="zh-CN" w:bidi="ar"/>
        </w:rPr>
        <w:t>基本药物制度的村卫生室顺利实施。3</w:t>
      </w:r>
      <w:r>
        <w:rPr>
          <w:rFonts w:hint="default" w:ascii="Times New Roman" w:hAnsi="Times New Roman" w:cs="Times New Roman"/>
          <w:snapToGrid w:val="0"/>
          <w:color w:val="auto"/>
          <w:kern w:val="0"/>
          <w:sz w:val="32"/>
          <w:szCs w:val="32"/>
          <w:highlight w:val="none"/>
          <w:lang w:val="en-US" w:eastAsia="zh-CN" w:bidi="ar"/>
        </w:rPr>
        <w:t>.</w:t>
      </w:r>
      <w:r>
        <w:rPr>
          <w:rFonts w:hint="default" w:ascii="Times New Roman" w:hAnsi="Times New Roman" w:eastAsia="仿宋_GB2312" w:cs="Times New Roman"/>
          <w:snapToGrid w:val="0"/>
          <w:color w:val="auto"/>
          <w:kern w:val="0"/>
          <w:sz w:val="32"/>
          <w:szCs w:val="32"/>
          <w:highlight w:val="none"/>
          <w:lang w:val="en-US" w:eastAsia="zh-CN" w:bidi="ar"/>
        </w:rPr>
        <w:t>基层医疗卫生机构服务质量进一步提高。4</w:t>
      </w:r>
      <w:r>
        <w:rPr>
          <w:rFonts w:hint="default" w:ascii="Times New Roman" w:hAnsi="Times New Roman" w:cs="Times New Roman"/>
          <w:snapToGrid w:val="0"/>
          <w:color w:val="auto"/>
          <w:kern w:val="0"/>
          <w:sz w:val="32"/>
          <w:szCs w:val="32"/>
          <w:highlight w:val="none"/>
          <w:lang w:val="en-US" w:eastAsia="zh-CN" w:bidi="ar"/>
        </w:rPr>
        <w:t>.</w:t>
      </w:r>
      <w:r>
        <w:rPr>
          <w:rFonts w:hint="default" w:ascii="Times New Roman" w:hAnsi="Times New Roman" w:eastAsia="仿宋_GB2312" w:cs="Times New Roman"/>
          <w:snapToGrid w:val="0"/>
          <w:color w:val="auto"/>
          <w:kern w:val="0"/>
          <w:sz w:val="32"/>
          <w:szCs w:val="32"/>
          <w:highlight w:val="none"/>
          <w:lang w:val="en-US" w:eastAsia="zh-CN" w:bidi="ar"/>
        </w:rPr>
        <w:t>紧密型医共体等基层卫生综合改革在县域内稳步推进。5</w:t>
      </w:r>
      <w:r>
        <w:rPr>
          <w:rFonts w:hint="default" w:ascii="Times New Roman" w:hAnsi="Times New Roman" w:cs="Times New Roman"/>
          <w:snapToGrid w:val="0"/>
          <w:color w:val="auto"/>
          <w:kern w:val="0"/>
          <w:sz w:val="32"/>
          <w:szCs w:val="32"/>
          <w:highlight w:val="none"/>
          <w:lang w:val="en-US" w:eastAsia="zh-CN" w:bidi="ar"/>
        </w:rPr>
        <w:t>.</w:t>
      </w:r>
      <w:r>
        <w:rPr>
          <w:rFonts w:hint="default" w:ascii="Times New Roman" w:hAnsi="Times New Roman" w:eastAsia="仿宋_GB2312" w:cs="Times New Roman"/>
          <w:snapToGrid w:val="0"/>
          <w:color w:val="auto"/>
          <w:kern w:val="0"/>
          <w:sz w:val="32"/>
          <w:szCs w:val="32"/>
          <w:highlight w:val="none"/>
          <w:lang w:val="en-US" w:eastAsia="zh-CN" w:bidi="ar"/>
        </w:rPr>
        <w:t>对基本药物制度补助满意度进一步提高。</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firstLine="646" w:firstLineChars="201"/>
        <w:jc w:val="both"/>
        <w:textAlignment w:val="auto"/>
        <w:rPr>
          <w:rFonts w:hint="default" w:ascii="Times New Roman" w:hAnsi="Times New Roman" w:eastAsia="仿宋_GB2312" w:cs="Times New Roman"/>
          <w:b/>
          <w:bCs/>
          <w:snapToGrid w:val="0"/>
          <w:color w:val="auto"/>
          <w:kern w:val="0"/>
          <w:sz w:val="32"/>
          <w:szCs w:val="32"/>
          <w:highlight w:val="none"/>
          <w:lang w:val="en-US" w:eastAsia="zh-CN" w:bidi="ar"/>
        </w:rPr>
      </w:pPr>
      <w:r>
        <w:rPr>
          <w:rFonts w:hint="default" w:ascii="Times New Roman" w:hAnsi="Times New Roman" w:eastAsia="仿宋_GB2312" w:cs="Times New Roman"/>
          <w:b/>
          <w:bCs/>
          <w:snapToGrid w:val="0"/>
          <w:color w:val="auto"/>
          <w:kern w:val="0"/>
          <w:sz w:val="32"/>
          <w:szCs w:val="32"/>
          <w:highlight w:val="none"/>
          <w:lang w:val="en-US" w:eastAsia="zh-CN" w:bidi="ar"/>
        </w:rPr>
        <w:t>（2）</w:t>
      </w:r>
      <w:r>
        <w:rPr>
          <w:rFonts w:hint="default" w:ascii="Times New Roman" w:hAnsi="Times New Roman" w:cs="Times New Roman"/>
          <w:b/>
          <w:bCs/>
          <w:i w:val="0"/>
          <w:caps w:val="0"/>
          <w:snapToGrid w:val="0"/>
          <w:color w:val="auto"/>
          <w:spacing w:val="0"/>
          <w:sz w:val="32"/>
          <w:szCs w:val="32"/>
          <w:highlight w:val="none"/>
          <w:lang w:val="en-US" w:eastAsia="zh-CN"/>
        </w:rPr>
        <w:t>中央</w:t>
      </w:r>
      <w:r>
        <w:rPr>
          <w:rFonts w:hint="default" w:ascii="Times New Roman" w:hAnsi="Times New Roman" w:eastAsia="仿宋_GB2312" w:cs="Times New Roman"/>
          <w:b/>
          <w:bCs/>
          <w:snapToGrid w:val="0"/>
          <w:color w:val="auto"/>
          <w:kern w:val="0"/>
          <w:sz w:val="32"/>
          <w:szCs w:val="32"/>
          <w:highlight w:val="none"/>
          <w:lang w:val="en-US" w:eastAsia="zh-CN" w:bidi="ar"/>
        </w:rPr>
        <w:t>绩效指标</w:t>
      </w:r>
      <w:r>
        <w:rPr>
          <w:rFonts w:hint="eastAsia" w:cs="Times New Roman"/>
          <w:b/>
          <w:bCs/>
          <w:snapToGrid w:val="0"/>
          <w:color w:val="auto"/>
          <w:kern w:val="0"/>
          <w:sz w:val="32"/>
          <w:szCs w:val="32"/>
          <w:highlight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b w:val="0"/>
          <w:bCs/>
          <w:i w:val="0"/>
          <w:iCs w:val="0"/>
          <w:snapToGrid w:val="0"/>
          <w:color w:val="auto"/>
          <w:kern w:val="0"/>
          <w:sz w:val="32"/>
          <w:szCs w:val="32"/>
          <w:highlight w:val="none"/>
          <w:u w:val="none"/>
          <w:lang w:val="en-US" w:eastAsia="zh-CN" w:bidi="ar"/>
        </w:rPr>
      </w:pPr>
      <w:r>
        <w:rPr>
          <w:rFonts w:hint="default" w:ascii="Times New Roman" w:hAnsi="Times New Roman" w:eastAsia="仿宋_GB2312" w:cs="Times New Roman"/>
          <w:b w:val="0"/>
          <w:bCs/>
          <w:snapToGrid w:val="0"/>
          <w:color w:val="auto"/>
          <w:kern w:val="0"/>
          <w:sz w:val="32"/>
          <w:szCs w:val="32"/>
          <w:highlight w:val="none"/>
          <w:lang w:val="en-US" w:eastAsia="zh-CN" w:bidi="ar"/>
        </w:rPr>
        <w:t>2022年中央财政补助国家基本药物制度项目绩效指标包括</w:t>
      </w:r>
      <w:r>
        <w:rPr>
          <w:rFonts w:hint="default" w:ascii="Times New Roman" w:hAnsi="Times New Roman" w:eastAsia="仿宋_GB2312" w:cs="Times New Roman"/>
          <w:b w:val="0"/>
          <w:bCs/>
          <w:snapToGrid w:val="0"/>
          <w:color w:val="auto"/>
          <w:kern w:val="0"/>
          <w:sz w:val="32"/>
          <w:szCs w:val="32"/>
          <w:highlight w:val="none"/>
          <w:lang w:val="en-US" w:eastAsia="zh-CN"/>
        </w:rPr>
        <w:t>政府办基层医疗卫生机构实施国家基本药物制度覆盖率、行政村卫生站实施国家基本药物制度覆盖率指标值、</w:t>
      </w:r>
      <w:r>
        <w:rPr>
          <w:rFonts w:hint="default" w:ascii="Times New Roman" w:hAnsi="Times New Roman" w:eastAsia="仿宋_GB2312" w:cs="Times New Roman"/>
          <w:b w:val="0"/>
          <w:bCs/>
          <w:i w:val="0"/>
          <w:iCs w:val="0"/>
          <w:snapToGrid w:val="0"/>
          <w:color w:val="auto"/>
          <w:kern w:val="0"/>
          <w:sz w:val="32"/>
          <w:szCs w:val="32"/>
          <w:highlight w:val="none"/>
          <w:u w:val="none"/>
          <w:lang w:val="en-US" w:eastAsia="zh-CN" w:bidi="ar"/>
        </w:rPr>
        <w:t>基层医疗卫生机构“优质服务基层行”活动开展评价机构数比例</w:t>
      </w:r>
      <w:r>
        <w:rPr>
          <w:rFonts w:hint="default" w:ascii="Times New Roman" w:hAnsi="Times New Roman" w:cs="Times New Roman"/>
          <w:b w:val="0"/>
          <w:bCs/>
          <w:i w:val="0"/>
          <w:iCs w:val="0"/>
          <w:snapToGrid w:val="0"/>
          <w:color w:val="auto"/>
          <w:kern w:val="0"/>
          <w:sz w:val="32"/>
          <w:szCs w:val="32"/>
          <w:highlight w:val="none"/>
          <w:u w:val="none"/>
          <w:lang w:val="en-US" w:eastAsia="zh-CN" w:bidi="ar"/>
        </w:rPr>
        <w:t>等绩效指标8个,其中</w:t>
      </w:r>
      <w:r>
        <w:rPr>
          <w:rFonts w:hint="default" w:ascii="Times New Roman" w:hAnsi="Times New Roman" w:eastAsia="仿宋_GB2312" w:cs="Times New Roman"/>
          <w:snapToGrid w:val="0"/>
          <w:color w:val="auto"/>
          <w:sz w:val="32"/>
          <w:szCs w:val="32"/>
          <w:highlight w:val="none"/>
          <w:lang w:val="en-US" w:eastAsia="zh-CN"/>
        </w:rPr>
        <w:t>产出指标</w:t>
      </w:r>
      <w:r>
        <w:rPr>
          <w:rFonts w:hint="default" w:ascii="Times New Roman" w:hAnsi="Times New Roman" w:cs="Times New Roman"/>
          <w:snapToGrid w:val="0"/>
          <w:color w:val="auto"/>
          <w:sz w:val="32"/>
          <w:szCs w:val="32"/>
          <w:highlight w:val="none"/>
          <w:lang w:val="en-US" w:eastAsia="zh-CN"/>
        </w:rPr>
        <w:t>4</w:t>
      </w:r>
      <w:r>
        <w:rPr>
          <w:rFonts w:hint="default" w:ascii="Times New Roman" w:hAnsi="Times New Roman" w:eastAsia="仿宋_GB2312" w:cs="Times New Roman"/>
          <w:snapToGrid w:val="0"/>
          <w:color w:val="auto"/>
          <w:sz w:val="32"/>
          <w:szCs w:val="32"/>
          <w:highlight w:val="none"/>
        </w:rPr>
        <w:t>个，效益指标</w:t>
      </w:r>
      <w:r>
        <w:rPr>
          <w:rFonts w:hint="default" w:ascii="Times New Roman" w:hAnsi="Times New Roman" w:cs="Times New Roman"/>
          <w:snapToGrid w:val="0"/>
          <w:color w:val="auto"/>
          <w:sz w:val="32"/>
          <w:szCs w:val="32"/>
          <w:highlight w:val="none"/>
          <w:lang w:val="en-US" w:eastAsia="zh-CN"/>
        </w:rPr>
        <w:t>3</w:t>
      </w:r>
      <w:r>
        <w:rPr>
          <w:rFonts w:hint="default" w:ascii="Times New Roman" w:hAnsi="Times New Roman" w:eastAsia="仿宋_GB2312" w:cs="Times New Roman"/>
          <w:snapToGrid w:val="0"/>
          <w:color w:val="auto"/>
          <w:sz w:val="32"/>
          <w:szCs w:val="32"/>
          <w:highlight w:val="none"/>
        </w:rPr>
        <w:t>个</w:t>
      </w:r>
      <w:r>
        <w:rPr>
          <w:rFonts w:hint="default" w:ascii="Times New Roman" w:hAnsi="Times New Roman" w:eastAsia="仿宋_GB2312" w:cs="Times New Roman"/>
          <w:snapToGrid w:val="0"/>
          <w:color w:val="auto"/>
          <w:sz w:val="32"/>
          <w:szCs w:val="32"/>
          <w:highlight w:val="none"/>
          <w:lang w:eastAsia="zh-CN"/>
        </w:rPr>
        <w:t>，</w:t>
      </w:r>
      <w:r>
        <w:rPr>
          <w:rFonts w:hint="default" w:ascii="Times New Roman" w:hAnsi="Times New Roman" w:eastAsia="仿宋_GB2312" w:cs="Times New Roman"/>
          <w:snapToGrid w:val="0"/>
          <w:color w:val="auto"/>
          <w:sz w:val="32"/>
          <w:szCs w:val="32"/>
          <w:highlight w:val="none"/>
          <w:lang w:val="en-US" w:eastAsia="zh-CN"/>
        </w:rPr>
        <w:t>满意度指标1个</w:t>
      </w:r>
      <w:r>
        <w:rPr>
          <w:rFonts w:hint="default" w:ascii="Times New Roman" w:hAnsi="Times New Roman" w:eastAsia="仿宋_GB2312" w:cs="Times New Roman"/>
          <w:b w:val="0"/>
          <w:bCs/>
          <w:i w:val="0"/>
          <w:iCs w:val="0"/>
          <w:snapToGrid w:val="0"/>
          <w:color w:val="auto"/>
          <w:kern w:val="0"/>
          <w:sz w:val="32"/>
          <w:szCs w:val="32"/>
          <w:highlight w:val="none"/>
          <w:u w:val="none"/>
          <w:lang w:val="en-US" w:eastAsia="zh-CN" w:bidi="ar"/>
        </w:rPr>
        <w:t>（</w:t>
      </w:r>
      <w:r>
        <w:rPr>
          <w:rFonts w:hint="default" w:ascii="Times New Roman" w:hAnsi="Times New Roman" w:cs="Times New Roman"/>
          <w:b w:val="0"/>
          <w:bCs/>
          <w:i w:val="0"/>
          <w:iCs w:val="0"/>
          <w:snapToGrid w:val="0"/>
          <w:color w:val="auto"/>
          <w:kern w:val="0"/>
          <w:sz w:val="32"/>
          <w:szCs w:val="32"/>
          <w:highlight w:val="none"/>
          <w:u w:val="none"/>
          <w:lang w:val="en-US" w:eastAsia="zh-CN" w:bidi="ar"/>
        </w:rPr>
        <w:t>详</w:t>
      </w:r>
      <w:r>
        <w:rPr>
          <w:rFonts w:hint="default" w:ascii="Times New Roman" w:hAnsi="Times New Roman" w:eastAsia="仿宋_GB2312" w:cs="Times New Roman"/>
          <w:b w:val="0"/>
          <w:bCs/>
          <w:i w:val="0"/>
          <w:iCs w:val="0"/>
          <w:snapToGrid w:val="0"/>
          <w:color w:val="auto"/>
          <w:kern w:val="0"/>
          <w:sz w:val="32"/>
          <w:szCs w:val="32"/>
          <w:highlight w:val="none"/>
          <w:u w:val="none"/>
          <w:lang w:val="en-US" w:eastAsia="zh-CN" w:bidi="ar"/>
        </w:rPr>
        <w:t>见</w:t>
      </w:r>
      <w:r>
        <w:rPr>
          <w:rFonts w:hint="default" w:ascii="Times New Roman" w:hAnsi="Times New Roman" w:cs="Times New Roman"/>
          <w:b w:val="0"/>
          <w:bCs/>
          <w:i w:val="0"/>
          <w:iCs w:val="0"/>
          <w:snapToGrid w:val="0"/>
          <w:color w:val="auto"/>
          <w:kern w:val="0"/>
          <w:sz w:val="32"/>
          <w:szCs w:val="32"/>
          <w:highlight w:val="none"/>
          <w:u w:val="none"/>
          <w:lang w:val="en-US" w:eastAsia="zh-CN" w:bidi="ar"/>
        </w:rPr>
        <w:t>附表</w:t>
      </w:r>
      <w:r>
        <w:rPr>
          <w:rFonts w:hint="default" w:ascii="Times New Roman" w:hAnsi="Times New Roman" w:eastAsia="仿宋_GB2312" w:cs="Times New Roman"/>
          <w:b w:val="0"/>
          <w:bCs/>
          <w:i w:val="0"/>
          <w:iCs w:val="0"/>
          <w:snapToGrid w:val="0"/>
          <w:color w:val="auto"/>
          <w:kern w:val="0"/>
          <w:sz w:val="32"/>
          <w:szCs w:val="32"/>
          <w:highlight w:val="none"/>
          <w:u w:val="none"/>
          <w:lang w:val="en-US" w:eastAsia="zh-CN" w:bidi="ar"/>
        </w:rPr>
        <w:t>）</w:t>
      </w:r>
      <w:r>
        <w:rPr>
          <w:rFonts w:hint="default" w:ascii="Times New Roman" w:hAnsi="Times New Roman" w:cs="Times New Roman"/>
          <w:b w:val="0"/>
          <w:bCs/>
          <w:i w:val="0"/>
          <w:iCs w:val="0"/>
          <w:snapToGrid w:val="0"/>
          <w:color w:val="auto"/>
          <w:kern w:val="0"/>
          <w:sz w:val="32"/>
          <w:szCs w:val="32"/>
          <w:highlight w:val="none"/>
          <w:u w:val="none"/>
          <w:lang w:val="en-US" w:eastAsia="zh-CN" w:bidi="ar"/>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楷体_GB2312" w:hAnsi="楷体_GB2312" w:eastAsia="楷体_GB2312" w:cs="楷体_GB2312"/>
          <w:b w:val="0"/>
          <w:bCs w:val="0"/>
          <w:snapToGrid w:val="0"/>
          <w:color w:val="auto"/>
          <w:sz w:val="32"/>
          <w:szCs w:val="32"/>
          <w:highlight w:val="none"/>
          <w:lang w:val="en-US" w:eastAsia="zh-CN"/>
        </w:rPr>
      </w:pPr>
      <w:r>
        <w:rPr>
          <w:rFonts w:hint="default" w:ascii="楷体_GB2312" w:hAnsi="楷体_GB2312" w:eastAsia="楷体_GB2312" w:cs="楷体_GB2312"/>
          <w:b w:val="0"/>
          <w:bCs w:val="0"/>
          <w:snapToGrid w:val="0"/>
          <w:color w:val="auto"/>
          <w:sz w:val="32"/>
          <w:szCs w:val="32"/>
          <w:highlight w:val="none"/>
          <w:lang w:val="en-US" w:eastAsia="zh-CN"/>
        </w:rPr>
        <w:t>（二）省内资金安排、分解下达预算和绩效目标情况</w:t>
      </w:r>
      <w:r>
        <w:rPr>
          <w:rFonts w:hint="eastAsia" w:ascii="楷体_GB2312" w:hAnsi="楷体_GB2312" w:eastAsia="楷体_GB2312" w:cs="楷体_GB2312"/>
          <w:b w:val="0"/>
          <w:bCs w:val="0"/>
          <w:snapToGrid w:val="0"/>
          <w:color w:val="auto"/>
          <w:sz w:val="32"/>
          <w:szCs w:val="32"/>
          <w:highlight w:val="none"/>
          <w:lang w:val="en-US" w:eastAsia="zh-CN"/>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仿宋_GB2312" w:cs="Times New Roman"/>
          <w:b/>
          <w:bCs/>
          <w:snapToGrid w:val="0"/>
          <w:color w:val="auto"/>
          <w:sz w:val="32"/>
          <w:szCs w:val="32"/>
          <w:highlight w:val="none"/>
          <w:lang w:val="en-US" w:eastAsia="zh-CN"/>
        </w:rPr>
      </w:pPr>
      <w:r>
        <w:rPr>
          <w:rFonts w:hint="default" w:ascii="Times New Roman" w:hAnsi="Times New Roman" w:eastAsia="仿宋_GB2312" w:cs="Times New Roman"/>
          <w:b/>
          <w:bCs/>
          <w:snapToGrid w:val="0"/>
          <w:color w:val="auto"/>
          <w:sz w:val="32"/>
          <w:szCs w:val="32"/>
          <w:highlight w:val="none"/>
          <w:lang w:val="en-US" w:eastAsia="zh-CN"/>
        </w:rPr>
        <w:t>1</w:t>
      </w:r>
      <w:r>
        <w:rPr>
          <w:rFonts w:hint="default" w:ascii="仿宋_GB2312" w:hAnsi="仿宋_GB2312" w:eastAsia="仿宋_GB2312" w:cs="仿宋_GB2312"/>
          <w:b/>
          <w:bCs/>
          <w:snapToGrid w:val="0"/>
          <w:color w:val="auto"/>
          <w:sz w:val="32"/>
          <w:szCs w:val="32"/>
          <w:highlight w:val="none"/>
          <w:lang w:val="en-US" w:eastAsia="zh-CN"/>
        </w:rPr>
        <w:t>.省</w:t>
      </w:r>
      <w:r>
        <w:rPr>
          <w:rFonts w:hint="default" w:ascii="Times New Roman" w:hAnsi="Times New Roman" w:eastAsia="仿宋_GB2312" w:cs="Times New Roman"/>
          <w:b/>
          <w:bCs/>
          <w:snapToGrid w:val="0"/>
          <w:color w:val="auto"/>
          <w:sz w:val="32"/>
          <w:szCs w:val="32"/>
          <w:highlight w:val="none"/>
        </w:rPr>
        <w:t>内资金安排、分解下达预算</w:t>
      </w:r>
      <w:r>
        <w:rPr>
          <w:rFonts w:hint="default" w:ascii="Times New Roman" w:hAnsi="Times New Roman" w:eastAsia="仿宋_GB2312" w:cs="Times New Roman"/>
          <w:b/>
          <w:bCs/>
          <w:snapToGrid w:val="0"/>
          <w:color w:val="auto"/>
          <w:sz w:val="32"/>
          <w:szCs w:val="32"/>
          <w:highlight w:val="none"/>
          <w:lang w:val="en-US" w:eastAsia="zh-CN"/>
        </w:rPr>
        <w:t>情况</w:t>
      </w:r>
      <w:r>
        <w:rPr>
          <w:rFonts w:hint="eastAsia" w:cs="Times New Roman"/>
          <w:b/>
          <w:bCs/>
          <w:snapToGrid w:val="0"/>
          <w:color w:val="auto"/>
          <w:sz w:val="32"/>
          <w:szCs w:val="32"/>
          <w:highlight w:val="none"/>
          <w:lang w:val="en-US" w:eastAsia="zh-CN"/>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 w:val="0"/>
          <w:bCs w:val="0"/>
          <w:snapToGrid w:val="0"/>
          <w:color w:val="auto"/>
          <w:kern w:val="0"/>
          <w:sz w:val="32"/>
          <w:szCs w:val="32"/>
          <w:highlight w:val="none"/>
          <w:lang w:val="en-US" w:eastAsia="zh-CN" w:bidi="ar"/>
        </w:rPr>
      </w:pPr>
      <w:r>
        <w:rPr>
          <w:rFonts w:hint="default" w:ascii="Times New Roman" w:hAnsi="Times New Roman" w:cs="Times New Roman"/>
          <w:b w:val="0"/>
          <w:bCs w:val="0"/>
          <w:snapToGrid w:val="0"/>
          <w:color w:val="auto"/>
          <w:kern w:val="0"/>
          <w:sz w:val="32"/>
          <w:szCs w:val="32"/>
          <w:highlight w:val="none"/>
          <w:lang w:val="en-US" w:eastAsia="zh-CN" w:bidi="ar"/>
        </w:rPr>
        <w:t>根</w:t>
      </w:r>
      <w:r>
        <w:rPr>
          <w:rFonts w:hint="default" w:ascii="Times New Roman" w:hAnsi="Times New Roman" w:eastAsia="仿宋_GB2312" w:cs="Times New Roman"/>
          <w:b w:val="0"/>
          <w:bCs w:val="0"/>
          <w:snapToGrid w:val="0"/>
          <w:color w:val="auto"/>
          <w:kern w:val="0"/>
          <w:sz w:val="32"/>
          <w:szCs w:val="32"/>
          <w:highlight w:val="none"/>
          <w:lang w:val="en-US" w:eastAsia="zh-CN" w:bidi="ar"/>
        </w:rPr>
        <w:t>据中央</w:t>
      </w:r>
      <w:r>
        <w:rPr>
          <w:rFonts w:hint="default" w:ascii="Times New Roman" w:hAnsi="Times New Roman" w:cs="Times New Roman"/>
          <w:b w:val="0"/>
          <w:bCs w:val="0"/>
          <w:snapToGrid w:val="0"/>
          <w:color w:val="auto"/>
          <w:kern w:val="0"/>
          <w:sz w:val="32"/>
          <w:szCs w:val="32"/>
          <w:highlight w:val="none"/>
          <w:lang w:val="en-US" w:eastAsia="zh-CN" w:bidi="ar"/>
        </w:rPr>
        <w:t>和省专项资金管理规定，收到中央补助资金通知后，</w:t>
      </w:r>
      <w:r>
        <w:rPr>
          <w:rFonts w:hint="default" w:ascii="Times New Roman" w:hAnsi="Times New Roman" w:eastAsia="仿宋_GB2312" w:cs="Times New Roman"/>
          <w:snapToGrid w:val="0"/>
          <w:color w:val="auto"/>
          <w:kern w:val="0"/>
          <w:sz w:val="32"/>
          <w:szCs w:val="32"/>
          <w:highlight w:val="none"/>
          <w:lang w:val="en-US" w:eastAsia="zh-CN" w:bidi="ar"/>
        </w:rPr>
        <w:t>省卫生健康委</w:t>
      </w:r>
      <w:r>
        <w:rPr>
          <w:rFonts w:hint="default" w:ascii="Times New Roman" w:hAnsi="Times New Roman" w:cs="Times New Roman"/>
          <w:snapToGrid w:val="0"/>
          <w:color w:val="auto"/>
          <w:kern w:val="0"/>
          <w:sz w:val="32"/>
          <w:szCs w:val="32"/>
          <w:highlight w:val="none"/>
          <w:lang w:val="en-US" w:eastAsia="zh-CN" w:bidi="ar"/>
        </w:rPr>
        <w:t>迅速组织</w:t>
      </w:r>
      <w:r>
        <w:rPr>
          <w:rFonts w:hint="default" w:ascii="Times New Roman" w:hAnsi="Times New Roman" w:cs="Times New Roman"/>
          <w:b w:val="0"/>
          <w:bCs w:val="0"/>
          <w:snapToGrid w:val="0"/>
          <w:color w:val="auto"/>
          <w:kern w:val="0"/>
          <w:sz w:val="32"/>
          <w:szCs w:val="32"/>
          <w:highlight w:val="none"/>
          <w:lang w:val="en-US" w:eastAsia="zh-CN" w:bidi="ar"/>
        </w:rPr>
        <w:t>同步编报专项</w:t>
      </w:r>
      <w:r>
        <w:rPr>
          <w:rFonts w:hint="default" w:ascii="Times New Roman" w:hAnsi="Times New Roman" w:eastAsia="仿宋_GB2312" w:cs="Times New Roman"/>
          <w:snapToGrid w:val="0"/>
          <w:color w:val="auto"/>
          <w:kern w:val="0"/>
          <w:sz w:val="32"/>
          <w:szCs w:val="32"/>
          <w:highlight w:val="none"/>
          <w:lang w:val="en-US" w:eastAsia="zh-CN" w:bidi="ar"/>
        </w:rPr>
        <w:t>资金</w:t>
      </w:r>
      <w:r>
        <w:rPr>
          <w:rFonts w:hint="default" w:ascii="Times New Roman" w:hAnsi="Times New Roman" w:cs="Times New Roman"/>
          <w:snapToGrid w:val="0"/>
          <w:color w:val="auto"/>
          <w:kern w:val="0"/>
          <w:sz w:val="32"/>
          <w:szCs w:val="32"/>
          <w:highlight w:val="none"/>
          <w:lang w:val="en-US" w:eastAsia="zh-CN" w:bidi="ar"/>
        </w:rPr>
        <w:t>绩效目标申报表和</w:t>
      </w:r>
      <w:r>
        <w:rPr>
          <w:rFonts w:hint="default" w:ascii="Times New Roman" w:hAnsi="Times New Roman" w:eastAsia="仿宋_GB2312" w:cs="Times New Roman"/>
          <w:snapToGrid w:val="0"/>
          <w:color w:val="auto"/>
          <w:kern w:val="0"/>
          <w:sz w:val="32"/>
          <w:szCs w:val="32"/>
          <w:highlight w:val="none"/>
          <w:lang w:val="en-US" w:eastAsia="zh-CN" w:bidi="ar"/>
        </w:rPr>
        <w:t>分配方案，</w:t>
      </w:r>
      <w:r>
        <w:rPr>
          <w:rFonts w:hint="default" w:ascii="Times New Roman" w:hAnsi="Times New Roman" w:cs="Times New Roman"/>
          <w:snapToGrid w:val="0"/>
          <w:color w:val="auto"/>
          <w:kern w:val="0"/>
          <w:sz w:val="32"/>
          <w:szCs w:val="32"/>
          <w:highlight w:val="none"/>
          <w:lang w:val="en-US" w:eastAsia="zh-CN" w:bidi="ar"/>
        </w:rPr>
        <w:t>并经委领导班子集体审议通过后报</w:t>
      </w:r>
      <w:r>
        <w:rPr>
          <w:rFonts w:hint="default" w:ascii="Times New Roman" w:hAnsi="Times New Roman" w:eastAsia="仿宋_GB2312" w:cs="Times New Roman"/>
          <w:b w:val="0"/>
          <w:bCs w:val="0"/>
          <w:snapToGrid w:val="0"/>
          <w:color w:val="auto"/>
          <w:kern w:val="0"/>
          <w:sz w:val="32"/>
          <w:szCs w:val="32"/>
          <w:highlight w:val="none"/>
          <w:lang w:val="en-US" w:eastAsia="zh-CN" w:bidi="ar"/>
        </w:rPr>
        <w:t>省财政厅</w:t>
      </w:r>
      <w:r>
        <w:rPr>
          <w:rFonts w:hint="default" w:ascii="Times New Roman" w:hAnsi="Times New Roman" w:cs="Times New Roman"/>
          <w:b w:val="0"/>
          <w:bCs w:val="0"/>
          <w:snapToGrid w:val="0"/>
          <w:color w:val="auto"/>
          <w:kern w:val="0"/>
          <w:sz w:val="32"/>
          <w:szCs w:val="32"/>
          <w:highlight w:val="none"/>
          <w:lang w:val="en-US" w:eastAsia="zh-CN" w:bidi="ar"/>
        </w:rPr>
        <w:t>审批。2021年12月和2022年9月</w:t>
      </w:r>
      <w:r>
        <w:rPr>
          <w:rFonts w:hint="default" w:ascii="Times New Roman" w:hAnsi="Times New Roman" w:eastAsia="仿宋_GB2312" w:cs="Times New Roman"/>
          <w:b w:val="0"/>
          <w:bCs w:val="0"/>
          <w:snapToGrid w:val="0"/>
          <w:color w:val="auto"/>
          <w:kern w:val="0"/>
          <w:sz w:val="32"/>
          <w:szCs w:val="32"/>
          <w:highlight w:val="none"/>
          <w:lang w:val="en-US" w:eastAsia="zh-CN" w:bidi="ar"/>
        </w:rPr>
        <w:t>通过《广东省财政厅关于提前下达2022年中央财政基本药物制度补助资金的通知》（粤财社〔2021〕317号）</w:t>
      </w:r>
      <w:r>
        <w:rPr>
          <w:rFonts w:hint="default" w:ascii="Times New Roman" w:hAnsi="Times New Roman" w:cs="Times New Roman"/>
          <w:b w:val="0"/>
          <w:bCs w:val="0"/>
          <w:snapToGrid w:val="0"/>
          <w:color w:val="auto"/>
          <w:kern w:val="0"/>
          <w:sz w:val="32"/>
          <w:szCs w:val="32"/>
          <w:highlight w:val="none"/>
          <w:lang w:val="en-US" w:eastAsia="zh-CN" w:bidi="ar"/>
        </w:rPr>
        <w:t>和</w:t>
      </w:r>
      <w:r>
        <w:rPr>
          <w:rFonts w:hint="default" w:ascii="Times New Roman" w:hAnsi="Times New Roman" w:eastAsia="仿宋_GB2312" w:cs="Times New Roman"/>
          <w:b w:val="0"/>
          <w:bCs w:val="0"/>
          <w:snapToGrid w:val="0"/>
          <w:color w:val="auto"/>
          <w:kern w:val="0"/>
          <w:sz w:val="32"/>
          <w:szCs w:val="32"/>
          <w:highlight w:val="none"/>
          <w:lang w:val="en-US" w:eastAsia="zh-CN" w:bidi="ar"/>
        </w:rPr>
        <w:t>《广东省财政厅关于下达2022年中央财政基本药物制度第二批资金预算的通知》（粤财社〔2022〕115号），</w:t>
      </w:r>
      <w:r>
        <w:rPr>
          <w:rFonts w:hint="default" w:ascii="Times New Roman" w:hAnsi="Times New Roman" w:cs="Times New Roman"/>
          <w:b w:val="0"/>
          <w:bCs w:val="0"/>
          <w:snapToGrid w:val="0"/>
          <w:color w:val="auto"/>
          <w:kern w:val="0"/>
          <w:sz w:val="32"/>
          <w:szCs w:val="32"/>
          <w:highlight w:val="none"/>
          <w:lang w:val="en-US" w:eastAsia="zh-CN" w:bidi="ar"/>
        </w:rPr>
        <w:t>分2批</w:t>
      </w:r>
      <w:r>
        <w:rPr>
          <w:rFonts w:hint="default" w:ascii="Times New Roman" w:hAnsi="Times New Roman" w:eastAsia="仿宋_GB2312" w:cs="Times New Roman"/>
          <w:b w:val="0"/>
          <w:bCs w:val="0"/>
          <w:snapToGrid w:val="0"/>
          <w:color w:val="auto"/>
          <w:kern w:val="0"/>
          <w:sz w:val="32"/>
          <w:szCs w:val="32"/>
          <w:highlight w:val="none"/>
          <w:lang w:val="en-US" w:eastAsia="zh-CN" w:bidi="ar"/>
        </w:rPr>
        <w:t>向2</w:t>
      </w:r>
      <w:r>
        <w:rPr>
          <w:rFonts w:hint="default" w:ascii="Times New Roman" w:hAnsi="Times New Roman" w:cs="Times New Roman"/>
          <w:b w:val="0"/>
          <w:bCs w:val="0"/>
          <w:snapToGrid w:val="0"/>
          <w:color w:val="auto"/>
          <w:kern w:val="0"/>
          <w:sz w:val="32"/>
          <w:szCs w:val="32"/>
          <w:highlight w:val="none"/>
          <w:lang w:val="en-US" w:eastAsia="zh-CN" w:bidi="ar"/>
        </w:rPr>
        <w:t>0</w:t>
      </w:r>
      <w:r>
        <w:rPr>
          <w:rFonts w:hint="default" w:ascii="Times New Roman" w:hAnsi="Times New Roman" w:eastAsia="仿宋_GB2312" w:cs="Times New Roman"/>
          <w:b w:val="0"/>
          <w:bCs w:val="0"/>
          <w:snapToGrid w:val="0"/>
          <w:color w:val="auto"/>
          <w:kern w:val="0"/>
          <w:sz w:val="32"/>
          <w:szCs w:val="32"/>
          <w:highlight w:val="none"/>
          <w:lang w:val="en-US" w:eastAsia="zh-CN" w:bidi="ar"/>
        </w:rPr>
        <w:t>个地市和35个省财政直管县</w:t>
      </w:r>
      <w:r>
        <w:rPr>
          <w:rFonts w:hint="default" w:ascii="Times New Roman" w:hAnsi="Times New Roman" w:cs="Times New Roman"/>
          <w:b w:val="0"/>
          <w:bCs w:val="0"/>
          <w:snapToGrid w:val="0"/>
          <w:color w:val="auto"/>
          <w:kern w:val="0"/>
          <w:sz w:val="32"/>
          <w:szCs w:val="32"/>
          <w:highlight w:val="none"/>
          <w:lang w:val="en-US" w:eastAsia="zh-CN" w:bidi="ar"/>
        </w:rPr>
        <w:t>按因素法</w:t>
      </w:r>
      <w:r>
        <w:rPr>
          <w:rFonts w:hint="default" w:ascii="Times New Roman" w:hAnsi="Times New Roman" w:eastAsia="仿宋_GB2312" w:cs="Times New Roman"/>
          <w:b w:val="0"/>
          <w:bCs w:val="0"/>
          <w:snapToGrid w:val="0"/>
          <w:color w:val="auto"/>
          <w:kern w:val="0"/>
          <w:sz w:val="32"/>
          <w:szCs w:val="32"/>
          <w:highlight w:val="none"/>
          <w:lang w:val="en-US" w:eastAsia="zh-CN" w:bidi="ar"/>
        </w:rPr>
        <w:t>分解下达中央补助资金</w:t>
      </w:r>
      <w:r>
        <w:rPr>
          <w:rFonts w:hint="default" w:ascii="Times New Roman" w:hAnsi="Times New Roman" w:eastAsia="仿宋_GB2312" w:cs="Times New Roman"/>
          <w:snapToGrid w:val="0"/>
          <w:color w:val="auto"/>
          <w:kern w:val="0"/>
          <w:sz w:val="32"/>
          <w:szCs w:val="32"/>
          <w:highlight w:val="none"/>
          <w:lang w:val="en-US" w:eastAsia="zh-CN"/>
        </w:rPr>
        <w:t>24,760.00</w:t>
      </w:r>
      <w:r>
        <w:rPr>
          <w:rFonts w:hint="default" w:ascii="Times New Roman" w:hAnsi="Times New Roman" w:eastAsia="仿宋_GB2312" w:cs="Times New Roman"/>
          <w:b w:val="0"/>
          <w:bCs w:val="0"/>
          <w:snapToGrid w:val="0"/>
          <w:color w:val="auto"/>
          <w:kern w:val="0"/>
          <w:sz w:val="32"/>
          <w:szCs w:val="32"/>
          <w:highlight w:val="none"/>
          <w:lang w:val="en-US" w:eastAsia="zh-CN" w:bidi="ar"/>
        </w:rPr>
        <w:t>万元</w:t>
      </w:r>
      <w:r>
        <w:rPr>
          <w:rFonts w:hint="default" w:ascii="Times New Roman" w:hAnsi="Times New Roman" w:eastAsia="仿宋_GB2312" w:cs="Times New Roman"/>
          <w:snapToGrid w:val="0"/>
          <w:color w:val="auto"/>
          <w:kern w:val="0"/>
          <w:sz w:val="32"/>
          <w:szCs w:val="32"/>
          <w:highlight w:val="none"/>
          <w:lang w:eastAsia="zh-CN"/>
        </w:rPr>
        <w:t>（</w:t>
      </w:r>
      <w:r>
        <w:rPr>
          <w:rFonts w:hint="default" w:ascii="Times New Roman" w:hAnsi="Times New Roman" w:eastAsia="仿宋_GB2312" w:cs="Times New Roman"/>
          <w:b w:val="0"/>
          <w:bCs w:val="0"/>
          <w:i w:val="0"/>
          <w:caps w:val="0"/>
          <w:snapToGrid w:val="0"/>
          <w:color w:val="auto"/>
          <w:spacing w:val="0"/>
          <w:sz w:val="32"/>
          <w:szCs w:val="32"/>
          <w:highlight w:val="none"/>
          <w:lang w:val="en-US" w:eastAsia="zh-CN"/>
        </w:rPr>
        <w:t>补助资金分配情况</w:t>
      </w:r>
      <w:r>
        <w:rPr>
          <w:rFonts w:hint="default" w:ascii="Times New Roman" w:hAnsi="Times New Roman" w:eastAsia="仿宋_GB2312" w:cs="Times New Roman"/>
          <w:snapToGrid w:val="0"/>
          <w:color w:val="auto"/>
          <w:kern w:val="0"/>
          <w:sz w:val="32"/>
          <w:szCs w:val="32"/>
          <w:highlight w:val="none"/>
          <w:lang w:val="en-US" w:eastAsia="zh-CN"/>
        </w:rPr>
        <w:t>见</w:t>
      </w:r>
      <w:r>
        <w:rPr>
          <w:rFonts w:hint="default" w:ascii="Times New Roman" w:hAnsi="Times New Roman" w:cs="Times New Roman"/>
          <w:snapToGrid w:val="0"/>
          <w:color w:val="auto"/>
          <w:kern w:val="0"/>
          <w:sz w:val="32"/>
          <w:szCs w:val="32"/>
          <w:highlight w:val="none"/>
          <w:lang w:val="en-US" w:eastAsia="zh-CN"/>
        </w:rPr>
        <w:t>表1</w:t>
      </w:r>
      <w:r>
        <w:rPr>
          <w:rFonts w:hint="default" w:ascii="Times New Roman" w:hAnsi="Times New Roman" w:eastAsia="仿宋_GB2312" w:cs="Times New Roman"/>
          <w:snapToGrid w:val="0"/>
          <w:color w:val="auto"/>
          <w:kern w:val="0"/>
          <w:sz w:val="32"/>
          <w:szCs w:val="32"/>
          <w:highlight w:val="none"/>
          <w:lang w:eastAsia="zh-CN"/>
        </w:rPr>
        <w:t>）</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val="en-US" w:eastAsia="zh-CN"/>
        </w:rPr>
        <w:t>，专项用于我省</w:t>
      </w:r>
      <w:r>
        <w:rPr>
          <w:rFonts w:hint="default" w:ascii="Times New Roman" w:hAnsi="Times New Roman" w:eastAsia="仿宋_GB2312" w:cs="Times New Roman"/>
          <w:snapToGrid w:val="0"/>
          <w:color w:val="auto"/>
          <w:kern w:val="0"/>
          <w:sz w:val="32"/>
          <w:szCs w:val="32"/>
          <w:highlight w:val="none"/>
        </w:rPr>
        <w:t>基层医疗卫生机构实施基本药物制度</w:t>
      </w:r>
      <w:r>
        <w:rPr>
          <w:rFonts w:hint="default" w:ascii="Times New Roman" w:hAnsi="Times New Roman" w:eastAsia="仿宋_GB2312" w:cs="Times New Roman"/>
          <w:b w:val="0"/>
          <w:bCs w:val="0"/>
          <w:snapToGrid w:val="0"/>
          <w:color w:val="auto"/>
          <w:kern w:val="0"/>
          <w:sz w:val="32"/>
          <w:szCs w:val="32"/>
          <w:highlight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eastAsia="zh-CN"/>
        </w:rPr>
      </w:pPr>
      <w:r>
        <w:rPr>
          <w:rFonts w:hint="default" w:ascii="Times New Roman" w:hAnsi="Times New Roman" w:eastAsia="仿宋_GB2312" w:cs="Times New Roman"/>
          <w:b w:val="0"/>
          <w:bCs w:val="0"/>
          <w:snapToGrid w:val="0"/>
          <w:color w:val="auto"/>
          <w:kern w:val="0"/>
          <w:sz w:val="32"/>
          <w:szCs w:val="32"/>
          <w:highlight w:val="none"/>
          <w:lang w:val="en-US" w:eastAsia="zh-CN" w:bidi="ar"/>
        </w:rPr>
        <w:t>另外，省财政安排</w:t>
      </w:r>
      <w:r>
        <w:rPr>
          <w:rFonts w:hint="default" w:ascii="Times New Roman" w:hAnsi="Times New Roman" w:eastAsia="仿宋_GB2312" w:cs="Times New Roman"/>
          <w:b w:val="0"/>
          <w:bCs/>
          <w:snapToGrid w:val="0"/>
          <w:color w:val="auto"/>
          <w:kern w:val="0"/>
          <w:sz w:val="32"/>
          <w:szCs w:val="32"/>
          <w:highlight w:val="none"/>
          <w:lang w:val="en-US" w:eastAsia="zh-CN" w:bidi="ar"/>
        </w:rPr>
        <w:t>国家基本药物制度</w:t>
      </w:r>
      <w:r>
        <w:rPr>
          <w:rFonts w:hint="default" w:ascii="Times New Roman" w:hAnsi="Times New Roman" w:eastAsia="仿宋_GB2312" w:cs="Times New Roman"/>
          <w:b w:val="0"/>
          <w:bCs w:val="0"/>
          <w:snapToGrid w:val="0"/>
          <w:color w:val="auto"/>
          <w:kern w:val="0"/>
          <w:sz w:val="32"/>
          <w:szCs w:val="32"/>
          <w:highlight w:val="none"/>
          <w:lang w:val="en-US" w:eastAsia="zh-CN" w:bidi="ar"/>
        </w:rPr>
        <w:t>项目配套资金（</w:t>
      </w:r>
      <w:r>
        <w:rPr>
          <w:rFonts w:hint="default" w:ascii="Times New Roman" w:hAnsi="Times New Roman" w:eastAsia="仿宋_GB2312" w:cs="Times New Roman"/>
          <w:snapToGrid w:val="0"/>
          <w:color w:val="auto"/>
          <w:sz w:val="32"/>
          <w:szCs w:val="32"/>
          <w:highlight w:val="none"/>
        </w:rPr>
        <w:t>基层医疗卫生机构实施国家基本药物制度和综合改革以奖代补</w:t>
      </w:r>
      <w:r>
        <w:rPr>
          <w:rFonts w:hint="default" w:ascii="Times New Roman" w:hAnsi="Times New Roman" w:eastAsia="仿宋_GB2312" w:cs="Times New Roman"/>
          <w:b w:val="0"/>
          <w:bCs w:val="0"/>
          <w:snapToGrid w:val="0"/>
          <w:color w:val="auto"/>
          <w:kern w:val="0"/>
          <w:sz w:val="32"/>
          <w:szCs w:val="32"/>
          <w:highlight w:val="none"/>
          <w:lang w:val="en-US" w:eastAsia="zh-CN" w:bidi="ar"/>
        </w:rPr>
        <w:t>）</w:t>
      </w:r>
      <w:r>
        <w:rPr>
          <w:rFonts w:hint="default" w:ascii="Times New Roman" w:hAnsi="Times New Roman" w:cs="Times New Roman"/>
          <w:b w:val="0"/>
          <w:bCs w:val="0"/>
          <w:snapToGrid w:val="0"/>
          <w:color w:val="auto"/>
          <w:kern w:val="0"/>
          <w:sz w:val="32"/>
          <w:szCs w:val="32"/>
          <w:highlight w:val="none"/>
          <w:lang w:val="en-US" w:eastAsia="zh-CN" w:bidi="ar"/>
        </w:rPr>
        <w:t>10</w:t>
      </w:r>
      <w:r>
        <w:rPr>
          <w:rFonts w:hint="default" w:ascii="Times New Roman" w:hAnsi="Times New Roman" w:eastAsia="仿宋_GB2312" w:cs="Times New Roman"/>
          <w:b w:val="0"/>
          <w:bCs w:val="0"/>
          <w:snapToGrid w:val="0"/>
          <w:color w:val="auto"/>
          <w:kern w:val="0"/>
          <w:sz w:val="32"/>
          <w:szCs w:val="32"/>
          <w:highlight w:val="none"/>
          <w:lang w:val="en-US" w:eastAsia="zh-CN" w:bidi="ar"/>
        </w:rPr>
        <w:t>,000.00万元。</w:t>
      </w:r>
      <w:r>
        <w:rPr>
          <w:rFonts w:hint="default" w:ascii="Times New Roman" w:hAnsi="Times New Roman" w:eastAsia="仿宋_GB2312" w:cs="Times New Roman"/>
          <w:snapToGrid w:val="0"/>
          <w:color w:val="auto"/>
          <w:kern w:val="0"/>
          <w:sz w:val="32"/>
          <w:szCs w:val="32"/>
          <w:highlight w:val="none"/>
          <w:lang w:val="en-US" w:eastAsia="zh-CN" w:bidi="ar"/>
        </w:rPr>
        <w:t>截止2022年</w:t>
      </w:r>
      <w:r>
        <w:rPr>
          <w:rFonts w:hint="default" w:ascii="Times New Roman" w:hAnsi="Times New Roman" w:cs="Times New Roman"/>
          <w:snapToGrid w:val="0"/>
          <w:color w:val="auto"/>
          <w:kern w:val="0"/>
          <w:sz w:val="32"/>
          <w:szCs w:val="32"/>
          <w:highlight w:val="none"/>
          <w:lang w:val="en-US" w:eastAsia="zh-CN" w:bidi="ar"/>
        </w:rPr>
        <w:t>9</w:t>
      </w:r>
      <w:r>
        <w:rPr>
          <w:rFonts w:hint="default" w:ascii="Times New Roman" w:hAnsi="Times New Roman" w:eastAsia="仿宋_GB2312" w:cs="Times New Roman"/>
          <w:snapToGrid w:val="0"/>
          <w:color w:val="auto"/>
          <w:kern w:val="0"/>
          <w:sz w:val="32"/>
          <w:szCs w:val="32"/>
          <w:highlight w:val="none"/>
          <w:lang w:val="en-US" w:eastAsia="zh-CN" w:bidi="ar"/>
        </w:rPr>
        <w:t>月</w:t>
      </w:r>
      <w:r>
        <w:rPr>
          <w:rFonts w:hint="default" w:ascii="Times New Roman" w:hAnsi="Times New Roman" w:cs="Times New Roman"/>
          <w:snapToGrid w:val="0"/>
          <w:color w:val="auto"/>
          <w:kern w:val="0"/>
          <w:sz w:val="32"/>
          <w:szCs w:val="32"/>
          <w:highlight w:val="none"/>
          <w:lang w:val="en-US" w:eastAsia="zh-CN" w:bidi="ar"/>
        </w:rPr>
        <w:t>6</w:t>
      </w:r>
      <w:r>
        <w:rPr>
          <w:rFonts w:hint="default" w:ascii="Times New Roman" w:hAnsi="Times New Roman" w:eastAsia="仿宋_GB2312" w:cs="Times New Roman"/>
          <w:snapToGrid w:val="0"/>
          <w:color w:val="auto"/>
          <w:kern w:val="0"/>
          <w:sz w:val="32"/>
          <w:szCs w:val="32"/>
          <w:highlight w:val="none"/>
          <w:lang w:val="en-US" w:eastAsia="zh-CN" w:bidi="ar"/>
        </w:rPr>
        <w:t>日，中央补助资金和省财政</w:t>
      </w:r>
      <w:r>
        <w:rPr>
          <w:rFonts w:hint="default" w:ascii="Times New Roman" w:hAnsi="Times New Roman" w:cs="Times New Roman"/>
          <w:snapToGrid w:val="0"/>
          <w:color w:val="auto"/>
          <w:kern w:val="0"/>
          <w:sz w:val="32"/>
          <w:szCs w:val="32"/>
          <w:highlight w:val="none"/>
          <w:lang w:val="en-US" w:eastAsia="zh-CN" w:bidi="ar"/>
        </w:rPr>
        <w:t>配套</w:t>
      </w:r>
      <w:r>
        <w:rPr>
          <w:rFonts w:hint="default" w:ascii="Times New Roman" w:hAnsi="Times New Roman" w:eastAsia="仿宋_GB2312" w:cs="Times New Roman"/>
          <w:snapToGrid w:val="0"/>
          <w:color w:val="auto"/>
          <w:kern w:val="0"/>
          <w:sz w:val="32"/>
          <w:szCs w:val="32"/>
          <w:highlight w:val="none"/>
          <w:lang w:val="en-US" w:eastAsia="zh-CN" w:bidi="ar"/>
        </w:rPr>
        <w:t>经费合计</w:t>
      </w:r>
      <w:r>
        <w:rPr>
          <w:rFonts w:hint="default" w:ascii="Times New Roman" w:hAnsi="Times New Roman" w:cs="Times New Roman"/>
          <w:snapToGrid w:val="0"/>
          <w:color w:val="auto"/>
          <w:kern w:val="0"/>
          <w:sz w:val="32"/>
          <w:szCs w:val="32"/>
          <w:highlight w:val="none"/>
          <w:lang w:val="en-US" w:eastAsia="zh-CN" w:bidi="ar"/>
        </w:rPr>
        <w:t>3</w:t>
      </w:r>
      <w:r>
        <w:rPr>
          <w:rFonts w:hint="default" w:ascii="Times New Roman" w:hAnsi="Times New Roman" w:eastAsia="仿宋_GB2312" w:cs="Times New Roman"/>
          <w:snapToGrid w:val="0"/>
          <w:color w:val="auto"/>
          <w:kern w:val="0"/>
          <w:sz w:val="32"/>
          <w:szCs w:val="32"/>
          <w:highlight w:val="none"/>
          <w:lang w:val="en-US" w:eastAsia="zh-CN"/>
        </w:rPr>
        <w:t>4,760.00</w:t>
      </w:r>
      <w:r>
        <w:rPr>
          <w:rFonts w:hint="default" w:ascii="Times New Roman" w:hAnsi="Times New Roman" w:eastAsia="仿宋_GB2312" w:cs="Times New Roman"/>
          <w:b w:val="0"/>
          <w:bCs w:val="0"/>
          <w:snapToGrid w:val="0"/>
          <w:color w:val="auto"/>
          <w:kern w:val="0"/>
          <w:sz w:val="32"/>
          <w:szCs w:val="32"/>
          <w:highlight w:val="none"/>
          <w:lang w:val="en-US" w:eastAsia="zh-CN" w:bidi="ar"/>
        </w:rPr>
        <w:t>万元</w:t>
      </w:r>
      <w:r>
        <w:rPr>
          <w:rFonts w:hint="default" w:ascii="Times New Roman" w:hAnsi="Times New Roman" w:eastAsia="仿宋_GB2312" w:cs="Times New Roman"/>
          <w:snapToGrid w:val="0"/>
          <w:color w:val="auto"/>
          <w:kern w:val="0"/>
          <w:sz w:val="32"/>
          <w:szCs w:val="32"/>
          <w:highlight w:val="none"/>
          <w:lang w:val="en-US" w:eastAsia="zh-CN" w:bidi="ar"/>
        </w:rPr>
        <w:t>全部拨付至各地</w:t>
      </w:r>
      <w:r>
        <w:rPr>
          <w:rFonts w:hint="default" w:ascii="Times New Roman" w:hAnsi="Times New Roman" w:cs="Times New Roman"/>
          <w:snapToGrid w:val="0"/>
          <w:color w:val="auto"/>
          <w:kern w:val="0"/>
          <w:sz w:val="32"/>
          <w:szCs w:val="32"/>
          <w:highlight w:val="none"/>
          <w:lang w:val="en-US" w:eastAsia="zh-CN" w:bidi="ar"/>
        </w:rPr>
        <w:t>各单位</w:t>
      </w:r>
      <w:r>
        <w:rPr>
          <w:rFonts w:hint="default" w:ascii="Times New Roman" w:hAnsi="Times New Roman" w:eastAsia="仿宋_GB2312" w:cs="Times New Roman"/>
          <w:snapToGrid w:val="0"/>
          <w:color w:val="auto"/>
          <w:kern w:val="0"/>
          <w:sz w:val="32"/>
          <w:szCs w:val="32"/>
          <w:highlight w:val="none"/>
          <w:lang w:val="en-US" w:eastAsia="zh-CN" w:bidi="ar"/>
        </w:rPr>
        <w:t>，资金拨付率100%</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eastAsia="zh-CN"/>
        </w:rPr>
        <w:t>。</w:t>
      </w:r>
    </w:p>
    <w:p>
      <w:pPr>
        <w:pStyle w:val="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i w:val="0"/>
          <w:iCs w:val="0"/>
          <w:snapToGrid w:val="0"/>
          <w:color w:val="auto"/>
          <w:kern w:val="0"/>
          <w:sz w:val="28"/>
          <w:szCs w:val="28"/>
          <w:highlight w:val="none"/>
          <w:u w:val="none"/>
          <w:lang w:val="en-US" w:eastAsia="zh-CN" w:bidi="ar"/>
        </w:rPr>
      </w:pPr>
      <w:r>
        <w:rPr>
          <w:rFonts w:hint="default" w:ascii="Times New Roman" w:hAnsi="Times New Roman" w:eastAsia="黑体" w:cs="Times New Roman"/>
          <w:b/>
          <w:bCs/>
          <w:i w:val="0"/>
          <w:iCs w:val="0"/>
          <w:snapToGrid w:val="0"/>
          <w:color w:val="auto"/>
          <w:kern w:val="0"/>
          <w:sz w:val="28"/>
          <w:szCs w:val="28"/>
          <w:highlight w:val="none"/>
          <w:u w:val="none"/>
          <w:lang w:val="en-US" w:eastAsia="zh-CN" w:bidi="ar"/>
        </w:rPr>
        <w:t>表1</w:t>
      </w:r>
      <w:r>
        <w:rPr>
          <w:rFonts w:hint="eastAsia" w:ascii="Times New Roman" w:hAnsi="Times New Roman" w:eastAsia="黑体" w:cs="Times New Roman"/>
          <w:b/>
          <w:bCs/>
          <w:i w:val="0"/>
          <w:iCs w:val="0"/>
          <w:snapToGrid w:val="0"/>
          <w:color w:val="auto"/>
          <w:kern w:val="0"/>
          <w:sz w:val="28"/>
          <w:szCs w:val="28"/>
          <w:highlight w:val="none"/>
          <w:u w:val="none"/>
          <w:lang w:val="en-US" w:eastAsia="zh-CN" w:bidi="ar"/>
        </w:rPr>
        <w:t xml:space="preserve">  </w:t>
      </w:r>
      <w:r>
        <w:rPr>
          <w:rFonts w:hint="default" w:ascii="Times New Roman" w:hAnsi="Times New Roman" w:eastAsia="宋体" w:cs="Times New Roman"/>
          <w:b/>
          <w:bCs/>
          <w:i w:val="0"/>
          <w:iCs w:val="0"/>
          <w:snapToGrid w:val="0"/>
          <w:color w:val="auto"/>
          <w:kern w:val="0"/>
          <w:sz w:val="28"/>
          <w:szCs w:val="28"/>
          <w:highlight w:val="none"/>
          <w:u w:val="none"/>
          <w:lang w:val="en-US" w:eastAsia="zh-CN" w:bidi="ar"/>
        </w:rPr>
        <w:t>省内资金安排、分解下达情况</w:t>
      </w:r>
    </w:p>
    <w:p>
      <w:pPr>
        <w:pStyle w:val="6"/>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单位：万元</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57"/>
        <w:gridCol w:w="1887"/>
        <w:gridCol w:w="1594"/>
        <w:gridCol w:w="1515"/>
        <w:gridCol w:w="1367"/>
        <w:gridCol w:w="13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blHeader/>
          <w:jc w:val="center"/>
        </w:trPr>
        <w:tc>
          <w:tcPr>
            <w:tcW w:w="1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黑体" w:cs="Times New Roman"/>
                <w:b w:val="0"/>
                <w:bCs w:val="0"/>
                <w:i w:val="0"/>
                <w:iCs w:val="0"/>
                <w:color w:val="auto"/>
                <w:sz w:val="24"/>
                <w:szCs w:val="24"/>
                <w:highlight w:val="none"/>
                <w:u w:val="none"/>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地区</w:t>
            </w:r>
          </w:p>
        </w:tc>
        <w:tc>
          <w:tcPr>
            <w:tcW w:w="188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黑体" w:cs="Times New Roman"/>
                <w:b w:val="0"/>
                <w:bCs w:val="0"/>
                <w:i w:val="0"/>
                <w:iCs w:val="0"/>
                <w:color w:val="auto"/>
                <w:sz w:val="24"/>
                <w:szCs w:val="24"/>
                <w:highlight w:val="none"/>
                <w:u w:val="none"/>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年度应下达补助资金合计</w:t>
            </w:r>
          </w:p>
        </w:tc>
        <w:tc>
          <w:tcPr>
            <w:tcW w:w="31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left"/>
              <w:textAlignment w:val="center"/>
              <w:rPr>
                <w:rFonts w:hint="default" w:ascii="Times New Roman" w:hAnsi="Times New Roman" w:eastAsia="黑体" w:cs="Times New Roman"/>
                <w:b w:val="0"/>
                <w:bCs w:val="0"/>
                <w:i w:val="0"/>
                <w:iCs w:val="0"/>
                <w:color w:val="auto"/>
                <w:sz w:val="24"/>
                <w:szCs w:val="24"/>
                <w:highlight w:val="none"/>
                <w:u w:val="none"/>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其中：</w:t>
            </w:r>
          </w:p>
        </w:tc>
        <w:tc>
          <w:tcPr>
            <w:tcW w:w="1367"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2021年</w:t>
            </w:r>
            <w:r>
              <w:rPr>
                <w:rFonts w:hint="default" w:ascii="Times New Roman" w:hAnsi="Times New Roman" w:eastAsia="黑体" w:cs="Times New Roman"/>
                <w:b w:val="0"/>
                <w:bCs w:val="0"/>
                <w:i w:val="0"/>
                <w:color w:val="auto"/>
                <w:kern w:val="0"/>
                <w:sz w:val="24"/>
                <w:szCs w:val="24"/>
                <w:highlight w:val="none"/>
                <w:u w:val="none"/>
                <w:lang w:val="en-US" w:eastAsia="zh-CN" w:bidi="ar"/>
              </w:rPr>
              <w:t>提前下达</w:t>
            </w:r>
          </w:p>
        </w:tc>
        <w:tc>
          <w:tcPr>
            <w:tcW w:w="1340"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2022年追加下达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blHeader/>
          <w:jc w:val="center"/>
        </w:trPr>
        <w:tc>
          <w:tcPr>
            <w:tcW w:w="1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exact"/>
              <w:jc w:val="center"/>
              <w:rPr>
                <w:rFonts w:hint="default" w:ascii="Times New Roman" w:hAnsi="Times New Roman" w:eastAsia="宋体" w:cs="Times New Roman"/>
                <w:b/>
                <w:bCs/>
                <w:i w:val="0"/>
                <w:iCs w:val="0"/>
                <w:color w:val="auto"/>
                <w:sz w:val="24"/>
                <w:szCs w:val="24"/>
                <w:highlight w:val="none"/>
                <w:u w:val="none"/>
              </w:rPr>
            </w:pPr>
          </w:p>
        </w:tc>
        <w:tc>
          <w:tcPr>
            <w:tcW w:w="18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exact"/>
              <w:jc w:val="center"/>
              <w:rPr>
                <w:rFonts w:hint="default" w:ascii="Times New Roman" w:hAnsi="Times New Roman" w:eastAsia="宋体" w:cs="Times New Roman"/>
                <w:b/>
                <w:bCs/>
                <w:i w:val="0"/>
                <w:iCs w:val="0"/>
                <w:color w:val="auto"/>
                <w:sz w:val="24"/>
                <w:szCs w:val="24"/>
                <w:highlight w:val="none"/>
                <w:u w:val="none"/>
              </w:rPr>
            </w:pPr>
          </w:p>
        </w:tc>
        <w:tc>
          <w:tcPr>
            <w:tcW w:w="1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基层医疗卫生机构补助</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村卫生站</w:t>
            </w:r>
          </w:p>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补助</w:t>
            </w:r>
          </w:p>
        </w:tc>
        <w:tc>
          <w:tcPr>
            <w:tcW w:w="1367"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宋体" w:cs="Times New Roman"/>
                <w:b/>
                <w:bCs/>
                <w:i w:val="0"/>
                <w:iCs w:val="0"/>
                <w:color w:val="auto"/>
                <w:kern w:val="0"/>
                <w:sz w:val="24"/>
                <w:szCs w:val="24"/>
                <w:highlight w:val="none"/>
                <w:u w:val="none"/>
                <w:lang w:val="en-US" w:eastAsia="zh-CN" w:bidi="ar"/>
              </w:rPr>
            </w:pPr>
          </w:p>
        </w:tc>
        <w:tc>
          <w:tcPr>
            <w:tcW w:w="1340"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宋体" w:cs="Times New Roman"/>
                <w:b/>
                <w:bCs/>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357"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宋体" w:cs="Times New Roman"/>
                <w:b/>
                <w:bCs/>
                <w:i w:val="0"/>
                <w:iCs w:val="0"/>
                <w:color w:val="auto"/>
                <w:sz w:val="24"/>
                <w:szCs w:val="24"/>
                <w:highlight w:val="none"/>
                <w:u w:val="none"/>
              </w:rPr>
            </w:pPr>
            <w:r>
              <w:rPr>
                <w:rFonts w:hint="default" w:ascii="Times New Roman" w:hAnsi="Times New Roman" w:eastAsia="宋体" w:cs="Times New Roman"/>
                <w:b/>
                <w:bCs/>
                <w:i w:val="0"/>
                <w:iCs w:val="0"/>
                <w:color w:val="auto"/>
                <w:kern w:val="0"/>
                <w:sz w:val="24"/>
                <w:szCs w:val="24"/>
                <w:highlight w:val="none"/>
                <w:u w:val="none"/>
                <w:lang w:val="en-US" w:eastAsia="zh-CN" w:bidi="ar"/>
              </w:rPr>
              <w:t>合计</w:t>
            </w:r>
          </w:p>
        </w:tc>
        <w:tc>
          <w:tcPr>
            <w:tcW w:w="1887"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宋体" w:cs="Times New Roman"/>
                <w:b/>
                <w:bCs/>
                <w:i w:val="0"/>
                <w:iCs w:val="0"/>
                <w:color w:val="auto"/>
                <w:sz w:val="24"/>
                <w:szCs w:val="24"/>
                <w:highlight w:val="none"/>
                <w:u w:val="none"/>
              </w:rPr>
            </w:pPr>
            <w:r>
              <w:rPr>
                <w:rFonts w:hint="default" w:ascii="Times New Roman" w:hAnsi="Times New Roman" w:eastAsia="宋体" w:cs="Times New Roman"/>
                <w:b/>
                <w:bCs/>
                <w:i w:val="0"/>
                <w:iCs w:val="0"/>
                <w:color w:val="auto"/>
                <w:kern w:val="0"/>
                <w:sz w:val="24"/>
                <w:szCs w:val="24"/>
                <w:highlight w:val="none"/>
                <w:u w:val="none"/>
                <w:lang w:val="en-US" w:eastAsia="zh-CN" w:bidi="ar"/>
              </w:rPr>
              <w:t>24,760</w:t>
            </w:r>
          </w:p>
        </w:tc>
        <w:tc>
          <w:tcPr>
            <w:tcW w:w="159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宋体" w:cs="Times New Roman"/>
                <w:b/>
                <w:bCs/>
                <w:i w:val="0"/>
                <w:iCs w:val="0"/>
                <w:color w:val="auto"/>
                <w:sz w:val="24"/>
                <w:szCs w:val="24"/>
                <w:highlight w:val="none"/>
                <w:u w:val="none"/>
              </w:rPr>
            </w:pPr>
            <w:r>
              <w:rPr>
                <w:rFonts w:hint="default" w:ascii="Times New Roman" w:hAnsi="Times New Roman" w:eastAsia="宋体" w:cs="Times New Roman"/>
                <w:b/>
                <w:bCs/>
                <w:i w:val="0"/>
                <w:iCs w:val="0"/>
                <w:color w:val="auto"/>
                <w:kern w:val="0"/>
                <w:sz w:val="24"/>
                <w:szCs w:val="24"/>
                <w:highlight w:val="none"/>
                <w:u w:val="none"/>
                <w:lang w:val="en-US" w:eastAsia="zh-CN" w:bidi="ar"/>
              </w:rPr>
              <w:t>14,025</w:t>
            </w:r>
          </w:p>
        </w:tc>
        <w:tc>
          <w:tcPr>
            <w:tcW w:w="1515"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宋体" w:cs="Times New Roman"/>
                <w:b/>
                <w:bCs/>
                <w:i w:val="0"/>
                <w:iCs w:val="0"/>
                <w:color w:val="auto"/>
                <w:sz w:val="24"/>
                <w:szCs w:val="24"/>
                <w:highlight w:val="none"/>
                <w:u w:val="none"/>
              </w:rPr>
            </w:pPr>
            <w:r>
              <w:rPr>
                <w:rFonts w:hint="default" w:ascii="Times New Roman" w:hAnsi="Times New Roman" w:eastAsia="宋体" w:cs="Times New Roman"/>
                <w:b/>
                <w:bCs/>
                <w:i w:val="0"/>
                <w:iCs w:val="0"/>
                <w:color w:val="auto"/>
                <w:kern w:val="0"/>
                <w:sz w:val="24"/>
                <w:szCs w:val="24"/>
                <w:highlight w:val="none"/>
                <w:u w:val="none"/>
                <w:lang w:val="en-US" w:eastAsia="zh-CN" w:bidi="ar"/>
              </w:rPr>
              <w:t>10,735</w:t>
            </w:r>
          </w:p>
        </w:tc>
        <w:tc>
          <w:tcPr>
            <w:tcW w:w="1367"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default" w:ascii="Times New Roman" w:hAnsi="Times New Roman" w:eastAsia="宋体" w:cs="Times New Roman"/>
                <w:b/>
                <w:bCs/>
                <w:i w:val="0"/>
                <w:iCs w:val="0"/>
                <w:color w:val="auto"/>
                <w:kern w:val="0"/>
                <w:sz w:val="24"/>
                <w:szCs w:val="24"/>
                <w:highlight w:val="none"/>
                <w:u w:val="none"/>
                <w:lang w:val="en-US" w:eastAsia="zh-CN" w:bidi="ar"/>
              </w:rPr>
            </w:pPr>
            <w:r>
              <w:rPr>
                <w:rFonts w:hint="default" w:ascii="Times New Roman" w:hAnsi="Times New Roman" w:eastAsia="宋体" w:cs="Times New Roman"/>
                <w:b/>
                <w:i w:val="0"/>
                <w:color w:val="auto"/>
                <w:kern w:val="0"/>
                <w:sz w:val="24"/>
                <w:szCs w:val="24"/>
                <w:highlight w:val="none"/>
                <w:u w:val="none"/>
                <w:lang w:val="en-US" w:eastAsia="zh-CN" w:bidi="ar"/>
              </w:rPr>
              <w:t>21,730</w:t>
            </w:r>
          </w:p>
        </w:tc>
        <w:tc>
          <w:tcPr>
            <w:tcW w:w="1340"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default" w:ascii="Times New Roman" w:hAnsi="Times New Roman" w:eastAsia="宋体" w:cs="Times New Roman"/>
                <w:b/>
                <w:bCs/>
                <w:i w:val="0"/>
                <w:iCs w:val="0"/>
                <w:color w:val="auto"/>
                <w:kern w:val="0"/>
                <w:sz w:val="24"/>
                <w:szCs w:val="24"/>
                <w:highlight w:val="none"/>
                <w:u w:val="none"/>
                <w:lang w:val="en-US" w:eastAsia="zh-CN" w:bidi="ar"/>
              </w:rPr>
            </w:pPr>
            <w:r>
              <w:rPr>
                <w:rFonts w:hint="default" w:ascii="Times New Roman" w:hAnsi="Times New Roman" w:eastAsia="宋体" w:cs="Times New Roman"/>
                <w:b/>
                <w:i w:val="0"/>
                <w:color w:val="auto"/>
                <w:kern w:val="0"/>
                <w:sz w:val="24"/>
                <w:szCs w:val="24"/>
                <w:highlight w:val="none"/>
                <w:u w:val="none"/>
                <w:lang w:val="en-US" w:eastAsia="zh-CN" w:bidi="ar"/>
              </w:rPr>
              <w:t>3,030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3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b/>
                <w:bCs/>
                <w:i w:val="0"/>
                <w:iCs w:val="0"/>
                <w:color w:val="auto"/>
                <w:sz w:val="24"/>
                <w:szCs w:val="24"/>
                <w:highlight w:val="none"/>
                <w:u w:val="none"/>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地级以上市小计</w:t>
            </w:r>
          </w:p>
        </w:tc>
        <w:tc>
          <w:tcPr>
            <w:tcW w:w="1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b/>
                <w:bCs/>
                <w:i w:val="0"/>
                <w:iCs w:val="0"/>
                <w:color w:val="auto"/>
                <w:sz w:val="24"/>
                <w:szCs w:val="24"/>
                <w:highlight w:val="none"/>
                <w:u w:val="none"/>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15587.00</w:t>
            </w:r>
          </w:p>
        </w:tc>
        <w:tc>
          <w:tcPr>
            <w:tcW w:w="15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b/>
                <w:bCs/>
                <w:i w:val="0"/>
                <w:iCs w:val="0"/>
                <w:color w:val="auto"/>
                <w:sz w:val="24"/>
                <w:szCs w:val="24"/>
                <w:highlight w:val="none"/>
                <w:u w:val="none"/>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9742.00</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b/>
                <w:bCs/>
                <w:i w:val="0"/>
                <w:iCs w:val="0"/>
                <w:color w:val="auto"/>
                <w:sz w:val="24"/>
                <w:szCs w:val="24"/>
                <w:highlight w:val="none"/>
                <w:u w:val="none"/>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5845.00</w:t>
            </w:r>
          </w:p>
        </w:tc>
        <w:tc>
          <w:tcPr>
            <w:tcW w:w="13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default" w:ascii="Times New Roman" w:hAnsi="Times New Roman" w:eastAsia="仿宋_GB2312" w:cs="Times New Roman"/>
                <w:b/>
                <w:bCs/>
                <w:i w:val="0"/>
                <w:iCs w:val="0"/>
                <w:color w:val="auto"/>
                <w:kern w:val="0"/>
                <w:sz w:val="24"/>
                <w:szCs w:val="24"/>
                <w:highlight w:val="none"/>
                <w:u w:val="none"/>
                <w:lang w:val="en-US" w:eastAsia="zh-CN" w:bidi="ar"/>
              </w:rPr>
            </w:pPr>
            <w:r>
              <w:rPr>
                <w:rFonts w:hint="default" w:ascii="Times New Roman" w:hAnsi="Times New Roman" w:eastAsia="仿宋_GB2312" w:cs="Times New Roman"/>
                <w:b/>
                <w:i w:val="0"/>
                <w:color w:val="auto"/>
                <w:kern w:val="0"/>
                <w:sz w:val="24"/>
                <w:szCs w:val="24"/>
                <w:highlight w:val="none"/>
                <w:u w:val="none"/>
                <w:lang w:val="en-US" w:eastAsia="zh-CN" w:bidi="ar"/>
              </w:rPr>
              <w:t>13857.00</w:t>
            </w:r>
          </w:p>
        </w:tc>
        <w:tc>
          <w:tcPr>
            <w:tcW w:w="1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default" w:ascii="Times New Roman" w:hAnsi="Times New Roman" w:eastAsia="仿宋_GB2312" w:cs="Times New Roman"/>
                <w:b/>
                <w:bCs/>
                <w:i w:val="0"/>
                <w:iCs w:val="0"/>
                <w:color w:val="auto"/>
                <w:kern w:val="0"/>
                <w:sz w:val="24"/>
                <w:szCs w:val="24"/>
                <w:highlight w:val="none"/>
                <w:u w:val="none"/>
                <w:lang w:val="en-US" w:eastAsia="zh-CN" w:bidi="ar"/>
              </w:rPr>
            </w:pPr>
            <w:r>
              <w:rPr>
                <w:rFonts w:hint="default" w:ascii="Times New Roman" w:hAnsi="Times New Roman" w:eastAsia="仿宋_GB2312" w:cs="Times New Roman"/>
                <w:b/>
                <w:i w:val="0"/>
                <w:color w:val="auto"/>
                <w:kern w:val="0"/>
                <w:sz w:val="24"/>
                <w:szCs w:val="24"/>
                <w:highlight w:val="none"/>
                <w:u w:val="none"/>
                <w:lang w:val="en-US" w:eastAsia="zh-CN" w:bidi="ar"/>
              </w:rPr>
              <w:t>1730.00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3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广州市</w:t>
            </w:r>
          </w:p>
        </w:tc>
        <w:tc>
          <w:tcPr>
            <w:tcW w:w="1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2847</w:t>
            </w:r>
          </w:p>
        </w:tc>
        <w:tc>
          <w:tcPr>
            <w:tcW w:w="15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1962</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885</w:t>
            </w:r>
          </w:p>
        </w:tc>
        <w:tc>
          <w:tcPr>
            <w:tcW w:w="13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2516</w:t>
            </w:r>
          </w:p>
        </w:tc>
        <w:tc>
          <w:tcPr>
            <w:tcW w:w="1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 xml:space="preserve"> 331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3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珠海市</w:t>
            </w:r>
          </w:p>
        </w:tc>
        <w:tc>
          <w:tcPr>
            <w:tcW w:w="1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401</w:t>
            </w:r>
          </w:p>
        </w:tc>
        <w:tc>
          <w:tcPr>
            <w:tcW w:w="15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321</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80</w:t>
            </w:r>
          </w:p>
        </w:tc>
        <w:tc>
          <w:tcPr>
            <w:tcW w:w="13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359</w:t>
            </w:r>
          </w:p>
        </w:tc>
        <w:tc>
          <w:tcPr>
            <w:tcW w:w="1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 xml:space="preserve"> 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3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汕头市</w:t>
            </w:r>
          </w:p>
        </w:tc>
        <w:tc>
          <w:tcPr>
            <w:tcW w:w="1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1084</w:t>
            </w:r>
          </w:p>
        </w:tc>
        <w:tc>
          <w:tcPr>
            <w:tcW w:w="15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534</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550</w:t>
            </w:r>
          </w:p>
        </w:tc>
        <w:tc>
          <w:tcPr>
            <w:tcW w:w="13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934</w:t>
            </w:r>
          </w:p>
        </w:tc>
        <w:tc>
          <w:tcPr>
            <w:tcW w:w="1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 xml:space="preserve"> 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3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佛山市</w:t>
            </w:r>
          </w:p>
        </w:tc>
        <w:tc>
          <w:tcPr>
            <w:tcW w:w="1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1024</w:t>
            </w:r>
          </w:p>
        </w:tc>
        <w:tc>
          <w:tcPr>
            <w:tcW w:w="15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1024</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righ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 xml:space="preserve"> － </w:t>
            </w:r>
          </w:p>
        </w:tc>
        <w:tc>
          <w:tcPr>
            <w:tcW w:w="13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937</w:t>
            </w:r>
          </w:p>
        </w:tc>
        <w:tc>
          <w:tcPr>
            <w:tcW w:w="1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 xml:space="preserve"> 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3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韶关市</w:t>
            </w:r>
          </w:p>
        </w:tc>
        <w:tc>
          <w:tcPr>
            <w:tcW w:w="1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523</w:t>
            </w:r>
          </w:p>
        </w:tc>
        <w:tc>
          <w:tcPr>
            <w:tcW w:w="15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310</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213</w:t>
            </w:r>
          </w:p>
        </w:tc>
        <w:tc>
          <w:tcPr>
            <w:tcW w:w="13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456</w:t>
            </w:r>
          </w:p>
        </w:tc>
        <w:tc>
          <w:tcPr>
            <w:tcW w:w="1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 xml:space="preserve"> 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3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河源市</w:t>
            </w:r>
          </w:p>
        </w:tc>
        <w:tc>
          <w:tcPr>
            <w:tcW w:w="1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451</w:t>
            </w:r>
          </w:p>
        </w:tc>
        <w:tc>
          <w:tcPr>
            <w:tcW w:w="15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249</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202</w:t>
            </w:r>
          </w:p>
        </w:tc>
        <w:tc>
          <w:tcPr>
            <w:tcW w:w="13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390</w:t>
            </w:r>
          </w:p>
        </w:tc>
        <w:tc>
          <w:tcPr>
            <w:tcW w:w="1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 xml:space="preserve"> 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3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梅州市</w:t>
            </w:r>
          </w:p>
        </w:tc>
        <w:tc>
          <w:tcPr>
            <w:tcW w:w="1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406</w:t>
            </w:r>
          </w:p>
        </w:tc>
        <w:tc>
          <w:tcPr>
            <w:tcW w:w="15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242</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164</w:t>
            </w:r>
          </w:p>
        </w:tc>
        <w:tc>
          <w:tcPr>
            <w:tcW w:w="13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353</w:t>
            </w:r>
          </w:p>
        </w:tc>
        <w:tc>
          <w:tcPr>
            <w:tcW w:w="1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 xml:space="preserve"> 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3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惠州市</w:t>
            </w:r>
          </w:p>
        </w:tc>
        <w:tc>
          <w:tcPr>
            <w:tcW w:w="1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963</w:t>
            </w:r>
          </w:p>
        </w:tc>
        <w:tc>
          <w:tcPr>
            <w:tcW w:w="15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569</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394</w:t>
            </w:r>
          </w:p>
        </w:tc>
        <w:tc>
          <w:tcPr>
            <w:tcW w:w="13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839</w:t>
            </w:r>
          </w:p>
        </w:tc>
        <w:tc>
          <w:tcPr>
            <w:tcW w:w="1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 xml:space="preserve"> 124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3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汕尾市</w:t>
            </w:r>
          </w:p>
        </w:tc>
        <w:tc>
          <w:tcPr>
            <w:tcW w:w="1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147</w:t>
            </w:r>
          </w:p>
        </w:tc>
        <w:tc>
          <w:tcPr>
            <w:tcW w:w="15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108</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39</w:t>
            </w:r>
          </w:p>
        </w:tc>
        <w:tc>
          <w:tcPr>
            <w:tcW w:w="13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130</w:t>
            </w:r>
          </w:p>
        </w:tc>
        <w:tc>
          <w:tcPr>
            <w:tcW w:w="1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 xml:space="preserve"> 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3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东莞市</w:t>
            </w:r>
          </w:p>
        </w:tc>
        <w:tc>
          <w:tcPr>
            <w:tcW w:w="1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1056</w:t>
            </w:r>
          </w:p>
        </w:tc>
        <w:tc>
          <w:tcPr>
            <w:tcW w:w="15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1056</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righ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 xml:space="preserve"> － </w:t>
            </w:r>
          </w:p>
        </w:tc>
        <w:tc>
          <w:tcPr>
            <w:tcW w:w="13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966</w:t>
            </w:r>
          </w:p>
        </w:tc>
        <w:tc>
          <w:tcPr>
            <w:tcW w:w="1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 xml:space="preserve"> 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3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中山市</w:t>
            </w:r>
          </w:p>
        </w:tc>
        <w:tc>
          <w:tcPr>
            <w:tcW w:w="1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698</w:t>
            </w:r>
          </w:p>
        </w:tc>
        <w:tc>
          <w:tcPr>
            <w:tcW w:w="15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500</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198</w:t>
            </w:r>
          </w:p>
        </w:tc>
        <w:tc>
          <w:tcPr>
            <w:tcW w:w="13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619</w:t>
            </w:r>
          </w:p>
        </w:tc>
        <w:tc>
          <w:tcPr>
            <w:tcW w:w="1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 xml:space="preserve"> 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3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江门市</w:t>
            </w:r>
          </w:p>
        </w:tc>
        <w:tc>
          <w:tcPr>
            <w:tcW w:w="1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1074</w:t>
            </w:r>
          </w:p>
        </w:tc>
        <w:tc>
          <w:tcPr>
            <w:tcW w:w="15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540</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534</w:t>
            </w:r>
          </w:p>
        </w:tc>
        <w:tc>
          <w:tcPr>
            <w:tcW w:w="13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927</w:t>
            </w:r>
          </w:p>
        </w:tc>
        <w:tc>
          <w:tcPr>
            <w:tcW w:w="1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 xml:space="preserve"> 147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3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阳江市</w:t>
            </w:r>
          </w:p>
        </w:tc>
        <w:tc>
          <w:tcPr>
            <w:tcW w:w="1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464</w:t>
            </w:r>
          </w:p>
        </w:tc>
        <w:tc>
          <w:tcPr>
            <w:tcW w:w="15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231</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233</w:t>
            </w:r>
          </w:p>
        </w:tc>
        <w:tc>
          <w:tcPr>
            <w:tcW w:w="13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400</w:t>
            </w:r>
          </w:p>
        </w:tc>
        <w:tc>
          <w:tcPr>
            <w:tcW w:w="1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 xml:space="preserve"> 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3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湛江市</w:t>
            </w:r>
          </w:p>
        </w:tc>
        <w:tc>
          <w:tcPr>
            <w:tcW w:w="1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944</w:t>
            </w:r>
          </w:p>
        </w:tc>
        <w:tc>
          <w:tcPr>
            <w:tcW w:w="15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399</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545</w:t>
            </w:r>
          </w:p>
        </w:tc>
        <w:tc>
          <w:tcPr>
            <w:tcW w:w="13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806</w:t>
            </w:r>
          </w:p>
        </w:tc>
        <w:tc>
          <w:tcPr>
            <w:tcW w:w="1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 xml:space="preserve"> 138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3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茂名市</w:t>
            </w:r>
          </w:p>
        </w:tc>
        <w:tc>
          <w:tcPr>
            <w:tcW w:w="1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1007</w:t>
            </w:r>
          </w:p>
        </w:tc>
        <w:tc>
          <w:tcPr>
            <w:tcW w:w="15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379</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628</w:t>
            </w:r>
          </w:p>
        </w:tc>
        <w:tc>
          <w:tcPr>
            <w:tcW w:w="13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1065</w:t>
            </w:r>
          </w:p>
        </w:tc>
        <w:tc>
          <w:tcPr>
            <w:tcW w:w="1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 xml:space="preserve"> -58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3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肇庆市</w:t>
            </w:r>
          </w:p>
        </w:tc>
        <w:tc>
          <w:tcPr>
            <w:tcW w:w="1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543</w:t>
            </w:r>
          </w:p>
        </w:tc>
        <w:tc>
          <w:tcPr>
            <w:tcW w:w="15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300</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243</w:t>
            </w:r>
          </w:p>
        </w:tc>
        <w:tc>
          <w:tcPr>
            <w:tcW w:w="13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470</w:t>
            </w:r>
          </w:p>
        </w:tc>
        <w:tc>
          <w:tcPr>
            <w:tcW w:w="1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 xml:space="preserve"> 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3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清远市</w:t>
            </w:r>
          </w:p>
        </w:tc>
        <w:tc>
          <w:tcPr>
            <w:tcW w:w="1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771</w:t>
            </w:r>
          </w:p>
        </w:tc>
        <w:tc>
          <w:tcPr>
            <w:tcW w:w="15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381</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390</w:t>
            </w:r>
          </w:p>
        </w:tc>
        <w:tc>
          <w:tcPr>
            <w:tcW w:w="13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664</w:t>
            </w:r>
          </w:p>
        </w:tc>
        <w:tc>
          <w:tcPr>
            <w:tcW w:w="1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 xml:space="preserve"> 107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3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潮州市</w:t>
            </w:r>
          </w:p>
        </w:tc>
        <w:tc>
          <w:tcPr>
            <w:tcW w:w="1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408</w:t>
            </w:r>
          </w:p>
        </w:tc>
        <w:tc>
          <w:tcPr>
            <w:tcW w:w="15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237</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171</w:t>
            </w:r>
          </w:p>
        </w:tc>
        <w:tc>
          <w:tcPr>
            <w:tcW w:w="13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355</w:t>
            </w:r>
          </w:p>
        </w:tc>
        <w:tc>
          <w:tcPr>
            <w:tcW w:w="1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 xml:space="preserve"> 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3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揭阳市</w:t>
            </w:r>
          </w:p>
        </w:tc>
        <w:tc>
          <w:tcPr>
            <w:tcW w:w="1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445</w:t>
            </w:r>
          </w:p>
        </w:tc>
        <w:tc>
          <w:tcPr>
            <w:tcW w:w="15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232</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213</w:t>
            </w:r>
          </w:p>
        </w:tc>
        <w:tc>
          <w:tcPr>
            <w:tcW w:w="13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385</w:t>
            </w:r>
          </w:p>
        </w:tc>
        <w:tc>
          <w:tcPr>
            <w:tcW w:w="1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 xml:space="preserve"> 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3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云浮市</w:t>
            </w:r>
          </w:p>
        </w:tc>
        <w:tc>
          <w:tcPr>
            <w:tcW w:w="1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331</w:t>
            </w:r>
          </w:p>
        </w:tc>
        <w:tc>
          <w:tcPr>
            <w:tcW w:w="15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168</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163</w:t>
            </w:r>
          </w:p>
        </w:tc>
        <w:tc>
          <w:tcPr>
            <w:tcW w:w="13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286</w:t>
            </w:r>
          </w:p>
        </w:tc>
        <w:tc>
          <w:tcPr>
            <w:tcW w:w="1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 xml:space="preserve"> 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3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b/>
                <w:bCs/>
                <w:i w:val="0"/>
                <w:iCs w:val="0"/>
                <w:color w:val="auto"/>
                <w:sz w:val="24"/>
                <w:szCs w:val="24"/>
                <w:highlight w:val="none"/>
                <w:u w:val="none"/>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财政省直管县小计</w:t>
            </w:r>
          </w:p>
        </w:tc>
        <w:tc>
          <w:tcPr>
            <w:tcW w:w="1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right"/>
              <w:textAlignment w:val="center"/>
              <w:rPr>
                <w:rFonts w:hint="default" w:ascii="Times New Roman" w:hAnsi="Times New Roman" w:eastAsia="仿宋_GB2312" w:cs="Times New Roman"/>
                <w:b/>
                <w:bCs/>
                <w:i w:val="0"/>
                <w:iCs w:val="0"/>
                <w:color w:val="auto"/>
                <w:sz w:val="24"/>
                <w:szCs w:val="24"/>
                <w:highlight w:val="none"/>
                <w:u w:val="none"/>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 xml:space="preserve">9173.00 </w:t>
            </w:r>
          </w:p>
        </w:tc>
        <w:tc>
          <w:tcPr>
            <w:tcW w:w="15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right"/>
              <w:textAlignment w:val="center"/>
              <w:rPr>
                <w:rFonts w:hint="default" w:ascii="Times New Roman" w:hAnsi="Times New Roman" w:eastAsia="仿宋_GB2312" w:cs="Times New Roman"/>
                <w:b/>
                <w:bCs/>
                <w:i w:val="0"/>
                <w:iCs w:val="0"/>
                <w:color w:val="auto"/>
                <w:sz w:val="24"/>
                <w:szCs w:val="24"/>
                <w:highlight w:val="none"/>
                <w:u w:val="none"/>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 xml:space="preserve">4283.00 </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right"/>
              <w:textAlignment w:val="center"/>
              <w:rPr>
                <w:rFonts w:hint="default" w:ascii="Times New Roman" w:hAnsi="Times New Roman" w:eastAsia="仿宋_GB2312" w:cs="Times New Roman"/>
                <w:b/>
                <w:bCs/>
                <w:i w:val="0"/>
                <w:iCs w:val="0"/>
                <w:color w:val="auto"/>
                <w:sz w:val="24"/>
                <w:szCs w:val="24"/>
                <w:highlight w:val="none"/>
                <w:u w:val="none"/>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 xml:space="preserve">4890.00 </w:t>
            </w:r>
          </w:p>
        </w:tc>
        <w:tc>
          <w:tcPr>
            <w:tcW w:w="13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pPr>
            <w:r>
              <w:rPr>
                <w:rFonts w:hint="default" w:ascii="Times New Roman" w:hAnsi="Times New Roman" w:eastAsia="仿宋_GB2312" w:cs="Times New Roman"/>
                <w:b w:val="0"/>
                <w:i w:val="0"/>
                <w:color w:val="auto"/>
                <w:kern w:val="0"/>
                <w:sz w:val="24"/>
                <w:szCs w:val="24"/>
                <w:highlight w:val="none"/>
                <w:u w:val="none"/>
                <w:lang w:val="en-US" w:eastAsia="zh-CN" w:bidi="ar"/>
              </w:rPr>
              <w:t xml:space="preserve">7873.00 </w:t>
            </w:r>
          </w:p>
        </w:tc>
        <w:tc>
          <w:tcPr>
            <w:tcW w:w="1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pPr>
            <w:r>
              <w:rPr>
                <w:rFonts w:hint="default" w:ascii="Times New Roman" w:hAnsi="Times New Roman" w:eastAsia="仿宋_GB2312" w:cs="Times New Roman"/>
                <w:b w:val="0"/>
                <w:i w:val="0"/>
                <w:color w:val="auto"/>
                <w:kern w:val="0"/>
                <w:sz w:val="24"/>
                <w:szCs w:val="24"/>
                <w:highlight w:val="none"/>
                <w:u w:val="none"/>
                <w:lang w:val="en-US" w:eastAsia="zh-CN" w:bidi="ar"/>
              </w:rPr>
              <w:t xml:space="preserve">1300.00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3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南澳县</w:t>
            </w:r>
          </w:p>
        </w:tc>
        <w:tc>
          <w:tcPr>
            <w:tcW w:w="1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71</w:t>
            </w:r>
          </w:p>
        </w:tc>
        <w:tc>
          <w:tcPr>
            <w:tcW w:w="15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66</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5</w:t>
            </w:r>
          </w:p>
        </w:tc>
        <w:tc>
          <w:tcPr>
            <w:tcW w:w="13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64</w:t>
            </w:r>
          </w:p>
        </w:tc>
        <w:tc>
          <w:tcPr>
            <w:tcW w:w="1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 xml:space="preserve"> 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3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南雄市</w:t>
            </w:r>
          </w:p>
        </w:tc>
        <w:tc>
          <w:tcPr>
            <w:tcW w:w="1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178</w:t>
            </w:r>
          </w:p>
        </w:tc>
        <w:tc>
          <w:tcPr>
            <w:tcW w:w="15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115</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63</w:t>
            </w:r>
          </w:p>
        </w:tc>
        <w:tc>
          <w:tcPr>
            <w:tcW w:w="13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156</w:t>
            </w:r>
          </w:p>
        </w:tc>
        <w:tc>
          <w:tcPr>
            <w:tcW w:w="1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 xml:space="preserve"> 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3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仁化县</w:t>
            </w:r>
          </w:p>
        </w:tc>
        <w:tc>
          <w:tcPr>
            <w:tcW w:w="1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125</w:t>
            </w:r>
          </w:p>
        </w:tc>
        <w:tc>
          <w:tcPr>
            <w:tcW w:w="15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87</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38</w:t>
            </w:r>
          </w:p>
        </w:tc>
        <w:tc>
          <w:tcPr>
            <w:tcW w:w="13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110</w:t>
            </w:r>
          </w:p>
        </w:tc>
        <w:tc>
          <w:tcPr>
            <w:tcW w:w="1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 xml:space="preserve"> 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3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翁源县</w:t>
            </w:r>
          </w:p>
        </w:tc>
        <w:tc>
          <w:tcPr>
            <w:tcW w:w="1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155</w:t>
            </w:r>
          </w:p>
        </w:tc>
        <w:tc>
          <w:tcPr>
            <w:tcW w:w="15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84</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71</w:t>
            </w:r>
          </w:p>
        </w:tc>
        <w:tc>
          <w:tcPr>
            <w:tcW w:w="13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135</w:t>
            </w:r>
          </w:p>
        </w:tc>
        <w:tc>
          <w:tcPr>
            <w:tcW w:w="1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 xml:space="preserve"> 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3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乳源县</w:t>
            </w:r>
          </w:p>
        </w:tc>
        <w:tc>
          <w:tcPr>
            <w:tcW w:w="1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118</w:t>
            </w:r>
          </w:p>
        </w:tc>
        <w:tc>
          <w:tcPr>
            <w:tcW w:w="15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83</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35</w:t>
            </w:r>
          </w:p>
        </w:tc>
        <w:tc>
          <w:tcPr>
            <w:tcW w:w="13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103</w:t>
            </w:r>
          </w:p>
        </w:tc>
        <w:tc>
          <w:tcPr>
            <w:tcW w:w="1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 xml:space="preserve"> 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3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龙川县</w:t>
            </w:r>
          </w:p>
        </w:tc>
        <w:tc>
          <w:tcPr>
            <w:tcW w:w="1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267</w:t>
            </w:r>
          </w:p>
        </w:tc>
        <w:tc>
          <w:tcPr>
            <w:tcW w:w="15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130</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 xml:space="preserve">137.00 </w:t>
            </w:r>
          </w:p>
        </w:tc>
        <w:tc>
          <w:tcPr>
            <w:tcW w:w="13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230</w:t>
            </w:r>
          </w:p>
        </w:tc>
        <w:tc>
          <w:tcPr>
            <w:tcW w:w="1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 xml:space="preserve"> 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3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紫金县</w:t>
            </w:r>
          </w:p>
        </w:tc>
        <w:tc>
          <w:tcPr>
            <w:tcW w:w="1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220</w:t>
            </w:r>
          </w:p>
        </w:tc>
        <w:tc>
          <w:tcPr>
            <w:tcW w:w="15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118</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 xml:space="preserve">102.00 </w:t>
            </w:r>
          </w:p>
        </w:tc>
        <w:tc>
          <w:tcPr>
            <w:tcW w:w="13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191</w:t>
            </w:r>
          </w:p>
        </w:tc>
        <w:tc>
          <w:tcPr>
            <w:tcW w:w="1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 xml:space="preserve"> 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3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连平县</w:t>
            </w:r>
          </w:p>
        </w:tc>
        <w:tc>
          <w:tcPr>
            <w:tcW w:w="1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157</w:t>
            </w:r>
          </w:p>
        </w:tc>
        <w:tc>
          <w:tcPr>
            <w:tcW w:w="15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95</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62</w:t>
            </w:r>
          </w:p>
        </w:tc>
        <w:tc>
          <w:tcPr>
            <w:tcW w:w="13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137</w:t>
            </w:r>
          </w:p>
        </w:tc>
        <w:tc>
          <w:tcPr>
            <w:tcW w:w="1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 xml:space="preserve"> 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3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兴宁市</w:t>
            </w:r>
          </w:p>
        </w:tc>
        <w:tc>
          <w:tcPr>
            <w:tcW w:w="1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278</w:t>
            </w:r>
          </w:p>
        </w:tc>
        <w:tc>
          <w:tcPr>
            <w:tcW w:w="15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136</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 xml:space="preserve">142.00 </w:t>
            </w:r>
          </w:p>
        </w:tc>
        <w:tc>
          <w:tcPr>
            <w:tcW w:w="13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239</w:t>
            </w:r>
          </w:p>
        </w:tc>
        <w:tc>
          <w:tcPr>
            <w:tcW w:w="1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 xml:space="preserve"> 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3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大埔县</w:t>
            </w:r>
          </w:p>
        </w:tc>
        <w:tc>
          <w:tcPr>
            <w:tcW w:w="1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163</w:t>
            </w:r>
          </w:p>
        </w:tc>
        <w:tc>
          <w:tcPr>
            <w:tcW w:w="15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102</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 xml:space="preserve">61.00 </w:t>
            </w:r>
          </w:p>
        </w:tc>
        <w:tc>
          <w:tcPr>
            <w:tcW w:w="13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142</w:t>
            </w:r>
          </w:p>
        </w:tc>
        <w:tc>
          <w:tcPr>
            <w:tcW w:w="1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 xml:space="preserve"> 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3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丰顺县</w:t>
            </w:r>
          </w:p>
        </w:tc>
        <w:tc>
          <w:tcPr>
            <w:tcW w:w="1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193</w:t>
            </w:r>
          </w:p>
        </w:tc>
        <w:tc>
          <w:tcPr>
            <w:tcW w:w="15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116</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 xml:space="preserve">77.00 </w:t>
            </w:r>
          </w:p>
        </w:tc>
        <w:tc>
          <w:tcPr>
            <w:tcW w:w="13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168</w:t>
            </w:r>
          </w:p>
        </w:tc>
        <w:tc>
          <w:tcPr>
            <w:tcW w:w="1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 xml:space="preserve"> 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3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五华县</w:t>
            </w:r>
          </w:p>
        </w:tc>
        <w:tc>
          <w:tcPr>
            <w:tcW w:w="1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357</w:t>
            </w:r>
          </w:p>
        </w:tc>
        <w:tc>
          <w:tcPr>
            <w:tcW w:w="15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156</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 xml:space="preserve">201.00 </w:t>
            </w:r>
          </w:p>
        </w:tc>
        <w:tc>
          <w:tcPr>
            <w:tcW w:w="13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306</w:t>
            </w:r>
          </w:p>
        </w:tc>
        <w:tc>
          <w:tcPr>
            <w:tcW w:w="1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 xml:space="preserve"> 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3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博罗县</w:t>
            </w:r>
          </w:p>
        </w:tc>
        <w:tc>
          <w:tcPr>
            <w:tcW w:w="1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342</w:t>
            </w:r>
          </w:p>
        </w:tc>
        <w:tc>
          <w:tcPr>
            <w:tcW w:w="15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171</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171</w:t>
            </w:r>
          </w:p>
        </w:tc>
        <w:tc>
          <w:tcPr>
            <w:tcW w:w="13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295</w:t>
            </w:r>
          </w:p>
        </w:tc>
        <w:tc>
          <w:tcPr>
            <w:tcW w:w="1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 xml:space="preserve"> 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3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陆丰市</w:t>
            </w:r>
          </w:p>
        </w:tc>
        <w:tc>
          <w:tcPr>
            <w:tcW w:w="1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392</w:t>
            </w:r>
          </w:p>
        </w:tc>
        <w:tc>
          <w:tcPr>
            <w:tcW w:w="15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157</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235</w:t>
            </w:r>
          </w:p>
        </w:tc>
        <w:tc>
          <w:tcPr>
            <w:tcW w:w="13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333</w:t>
            </w:r>
          </w:p>
        </w:tc>
        <w:tc>
          <w:tcPr>
            <w:tcW w:w="1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 xml:space="preserve"> 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3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海丰县</w:t>
            </w:r>
          </w:p>
        </w:tc>
        <w:tc>
          <w:tcPr>
            <w:tcW w:w="1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213</w:t>
            </w:r>
          </w:p>
        </w:tc>
        <w:tc>
          <w:tcPr>
            <w:tcW w:w="15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132</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81</w:t>
            </w:r>
          </w:p>
        </w:tc>
        <w:tc>
          <w:tcPr>
            <w:tcW w:w="13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185</w:t>
            </w:r>
          </w:p>
        </w:tc>
        <w:tc>
          <w:tcPr>
            <w:tcW w:w="1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 xml:space="preserve"> 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3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陆河县</w:t>
            </w:r>
          </w:p>
        </w:tc>
        <w:tc>
          <w:tcPr>
            <w:tcW w:w="1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123</w:t>
            </w:r>
          </w:p>
        </w:tc>
        <w:tc>
          <w:tcPr>
            <w:tcW w:w="15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83</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40</w:t>
            </w:r>
          </w:p>
        </w:tc>
        <w:tc>
          <w:tcPr>
            <w:tcW w:w="13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108</w:t>
            </w:r>
          </w:p>
        </w:tc>
        <w:tc>
          <w:tcPr>
            <w:tcW w:w="1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 xml:space="preserve"> 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3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阳春市</w:t>
            </w:r>
          </w:p>
        </w:tc>
        <w:tc>
          <w:tcPr>
            <w:tcW w:w="1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306</w:t>
            </w:r>
          </w:p>
        </w:tc>
        <w:tc>
          <w:tcPr>
            <w:tcW w:w="15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129</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177</w:t>
            </w:r>
          </w:p>
        </w:tc>
        <w:tc>
          <w:tcPr>
            <w:tcW w:w="13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261</w:t>
            </w:r>
          </w:p>
        </w:tc>
        <w:tc>
          <w:tcPr>
            <w:tcW w:w="1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 xml:space="preserve"> 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3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雷州市</w:t>
            </w:r>
          </w:p>
        </w:tc>
        <w:tc>
          <w:tcPr>
            <w:tcW w:w="1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458</w:t>
            </w:r>
          </w:p>
        </w:tc>
        <w:tc>
          <w:tcPr>
            <w:tcW w:w="15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145</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313</w:t>
            </w:r>
          </w:p>
        </w:tc>
        <w:tc>
          <w:tcPr>
            <w:tcW w:w="13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386</w:t>
            </w:r>
          </w:p>
        </w:tc>
        <w:tc>
          <w:tcPr>
            <w:tcW w:w="1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 xml:space="preserve"> 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3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廉江市</w:t>
            </w:r>
          </w:p>
        </w:tc>
        <w:tc>
          <w:tcPr>
            <w:tcW w:w="1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471</w:t>
            </w:r>
          </w:p>
        </w:tc>
        <w:tc>
          <w:tcPr>
            <w:tcW w:w="15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155</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316</w:t>
            </w:r>
          </w:p>
        </w:tc>
        <w:tc>
          <w:tcPr>
            <w:tcW w:w="13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398</w:t>
            </w:r>
          </w:p>
        </w:tc>
        <w:tc>
          <w:tcPr>
            <w:tcW w:w="1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 xml:space="preserve"> 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3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徐闻县</w:t>
            </w:r>
          </w:p>
        </w:tc>
        <w:tc>
          <w:tcPr>
            <w:tcW w:w="1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252</w:t>
            </w:r>
          </w:p>
        </w:tc>
        <w:tc>
          <w:tcPr>
            <w:tcW w:w="15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116</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136</w:t>
            </w:r>
          </w:p>
        </w:tc>
        <w:tc>
          <w:tcPr>
            <w:tcW w:w="13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216</w:t>
            </w:r>
          </w:p>
        </w:tc>
        <w:tc>
          <w:tcPr>
            <w:tcW w:w="1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 xml:space="preserve"> 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3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高州市</w:t>
            </w:r>
          </w:p>
        </w:tc>
        <w:tc>
          <w:tcPr>
            <w:tcW w:w="1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461</w:t>
            </w:r>
          </w:p>
        </w:tc>
        <w:tc>
          <w:tcPr>
            <w:tcW w:w="15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173</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288</w:t>
            </w:r>
          </w:p>
        </w:tc>
        <w:tc>
          <w:tcPr>
            <w:tcW w:w="13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392</w:t>
            </w:r>
          </w:p>
        </w:tc>
        <w:tc>
          <w:tcPr>
            <w:tcW w:w="1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 xml:space="preserve"> 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3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化州市</w:t>
            </w:r>
          </w:p>
        </w:tc>
        <w:tc>
          <w:tcPr>
            <w:tcW w:w="1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437</w:t>
            </w:r>
          </w:p>
        </w:tc>
        <w:tc>
          <w:tcPr>
            <w:tcW w:w="15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155</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282</w:t>
            </w:r>
          </w:p>
        </w:tc>
        <w:tc>
          <w:tcPr>
            <w:tcW w:w="13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370</w:t>
            </w:r>
          </w:p>
        </w:tc>
        <w:tc>
          <w:tcPr>
            <w:tcW w:w="1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 xml:space="preserve"> 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3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广宁县</w:t>
            </w:r>
          </w:p>
        </w:tc>
        <w:tc>
          <w:tcPr>
            <w:tcW w:w="1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194</w:t>
            </w:r>
          </w:p>
        </w:tc>
        <w:tc>
          <w:tcPr>
            <w:tcW w:w="15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110</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84</w:t>
            </w:r>
          </w:p>
        </w:tc>
        <w:tc>
          <w:tcPr>
            <w:tcW w:w="13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169</w:t>
            </w:r>
          </w:p>
        </w:tc>
        <w:tc>
          <w:tcPr>
            <w:tcW w:w="1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 xml:space="preserve"> 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3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德庆县</w:t>
            </w:r>
          </w:p>
        </w:tc>
        <w:tc>
          <w:tcPr>
            <w:tcW w:w="1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174</w:t>
            </w:r>
          </w:p>
        </w:tc>
        <w:tc>
          <w:tcPr>
            <w:tcW w:w="15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94</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 xml:space="preserve">80.00 </w:t>
            </w:r>
          </w:p>
        </w:tc>
        <w:tc>
          <w:tcPr>
            <w:tcW w:w="13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150</w:t>
            </w:r>
          </w:p>
        </w:tc>
        <w:tc>
          <w:tcPr>
            <w:tcW w:w="1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 xml:space="preserve"> 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3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封开县</w:t>
            </w:r>
          </w:p>
        </w:tc>
        <w:tc>
          <w:tcPr>
            <w:tcW w:w="1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190</w:t>
            </w:r>
          </w:p>
        </w:tc>
        <w:tc>
          <w:tcPr>
            <w:tcW w:w="15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104</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 xml:space="preserve">86.00 </w:t>
            </w:r>
          </w:p>
        </w:tc>
        <w:tc>
          <w:tcPr>
            <w:tcW w:w="13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165</w:t>
            </w:r>
          </w:p>
        </w:tc>
        <w:tc>
          <w:tcPr>
            <w:tcW w:w="1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 xml:space="preserve"> 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3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怀集县</w:t>
            </w:r>
          </w:p>
        </w:tc>
        <w:tc>
          <w:tcPr>
            <w:tcW w:w="1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326</w:t>
            </w:r>
          </w:p>
        </w:tc>
        <w:tc>
          <w:tcPr>
            <w:tcW w:w="15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125</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 xml:space="preserve">201.00 </w:t>
            </w:r>
          </w:p>
        </w:tc>
        <w:tc>
          <w:tcPr>
            <w:tcW w:w="13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277</w:t>
            </w:r>
          </w:p>
        </w:tc>
        <w:tc>
          <w:tcPr>
            <w:tcW w:w="1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 xml:space="preserve"> 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3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英德市</w:t>
            </w:r>
          </w:p>
        </w:tc>
        <w:tc>
          <w:tcPr>
            <w:tcW w:w="1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339</w:t>
            </w:r>
          </w:p>
        </w:tc>
        <w:tc>
          <w:tcPr>
            <w:tcW w:w="15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152</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187</w:t>
            </w:r>
          </w:p>
        </w:tc>
        <w:tc>
          <w:tcPr>
            <w:tcW w:w="13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290</w:t>
            </w:r>
          </w:p>
        </w:tc>
        <w:tc>
          <w:tcPr>
            <w:tcW w:w="1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 xml:space="preserve"> 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3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连山县</w:t>
            </w:r>
          </w:p>
        </w:tc>
        <w:tc>
          <w:tcPr>
            <w:tcW w:w="1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104</w:t>
            </w:r>
          </w:p>
        </w:tc>
        <w:tc>
          <w:tcPr>
            <w:tcW w:w="15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85</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19</w:t>
            </w:r>
          </w:p>
        </w:tc>
        <w:tc>
          <w:tcPr>
            <w:tcW w:w="13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94</w:t>
            </w:r>
          </w:p>
        </w:tc>
        <w:tc>
          <w:tcPr>
            <w:tcW w:w="1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 xml:space="preserve"> 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3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连南县</w:t>
            </w:r>
          </w:p>
        </w:tc>
        <w:tc>
          <w:tcPr>
            <w:tcW w:w="1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101</w:t>
            </w:r>
          </w:p>
        </w:tc>
        <w:tc>
          <w:tcPr>
            <w:tcW w:w="15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76</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25</w:t>
            </w:r>
          </w:p>
        </w:tc>
        <w:tc>
          <w:tcPr>
            <w:tcW w:w="13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89</w:t>
            </w:r>
          </w:p>
        </w:tc>
        <w:tc>
          <w:tcPr>
            <w:tcW w:w="1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 xml:space="preserve"> 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3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饶平县</w:t>
            </w:r>
          </w:p>
        </w:tc>
        <w:tc>
          <w:tcPr>
            <w:tcW w:w="1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288</w:t>
            </w:r>
          </w:p>
        </w:tc>
        <w:tc>
          <w:tcPr>
            <w:tcW w:w="15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143</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145</w:t>
            </w:r>
          </w:p>
        </w:tc>
        <w:tc>
          <w:tcPr>
            <w:tcW w:w="13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249</w:t>
            </w:r>
          </w:p>
        </w:tc>
        <w:tc>
          <w:tcPr>
            <w:tcW w:w="1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 xml:space="preserve"> 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3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普宁市</w:t>
            </w:r>
          </w:p>
        </w:tc>
        <w:tc>
          <w:tcPr>
            <w:tcW w:w="1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569</w:t>
            </w:r>
          </w:p>
        </w:tc>
        <w:tc>
          <w:tcPr>
            <w:tcW w:w="15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203</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366</w:t>
            </w:r>
          </w:p>
        </w:tc>
        <w:tc>
          <w:tcPr>
            <w:tcW w:w="13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481</w:t>
            </w:r>
          </w:p>
        </w:tc>
        <w:tc>
          <w:tcPr>
            <w:tcW w:w="1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 xml:space="preserve"> 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3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揭西县</w:t>
            </w:r>
          </w:p>
        </w:tc>
        <w:tc>
          <w:tcPr>
            <w:tcW w:w="1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272</w:t>
            </w:r>
          </w:p>
        </w:tc>
        <w:tc>
          <w:tcPr>
            <w:tcW w:w="15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112</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160</w:t>
            </w:r>
          </w:p>
        </w:tc>
        <w:tc>
          <w:tcPr>
            <w:tcW w:w="13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232</w:t>
            </w:r>
          </w:p>
        </w:tc>
        <w:tc>
          <w:tcPr>
            <w:tcW w:w="1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 xml:space="preserve"> 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3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惠来县</w:t>
            </w:r>
          </w:p>
        </w:tc>
        <w:tc>
          <w:tcPr>
            <w:tcW w:w="1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348</w:t>
            </w:r>
          </w:p>
        </w:tc>
        <w:tc>
          <w:tcPr>
            <w:tcW w:w="15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141</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207</w:t>
            </w:r>
          </w:p>
        </w:tc>
        <w:tc>
          <w:tcPr>
            <w:tcW w:w="13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297</w:t>
            </w:r>
          </w:p>
        </w:tc>
        <w:tc>
          <w:tcPr>
            <w:tcW w:w="1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 xml:space="preserve"> 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3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罗定市</w:t>
            </w:r>
          </w:p>
        </w:tc>
        <w:tc>
          <w:tcPr>
            <w:tcW w:w="1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348</w:t>
            </w:r>
          </w:p>
        </w:tc>
        <w:tc>
          <w:tcPr>
            <w:tcW w:w="15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135</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213</w:t>
            </w:r>
          </w:p>
        </w:tc>
        <w:tc>
          <w:tcPr>
            <w:tcW w:w="13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296</w:t>
            </w:r>
          </w:p>
        </w:tc>
        <w:tc>
          <w:tcPr>
            <w:tcW w:w="1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 xml:space="preserve"> 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357"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新兴县</w:t>
            </w:r>
          </w:p>
        </w:tc>
        <w:tc>
          <w:tcPr>
            <w:tcW w:w="1887"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183</w:t>
            </w:r>
          </w:p>
        </w:tc>
        <w:tc>
          <w:tcPr>
            <w:tcW w:w="1594"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99</w:t>
            </w:r>
          </w:p>
        </w:tc>
        <w:tc>
          <w:tcPr>
            <w:tcW w:w="1515"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84</w:t>
            </w:r>
          </w:p>
        </w:tc>
        <w:tc>
          <w:tcPr>
            <w:tcW w:w="1367"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159</w:t>
            </w:r>
          </w:p>
        </w:tc>
        <w:tc>
          <w:tcPr>
            <w:tcW w:w="1340"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 xml:space="preserve"> 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9060" w:type="dxa"/>
            <w:gridSpan w:val="6"/>
            <w:tcBorders>
              <w:top w:val="single" w:color="auto" w:sz="4" w:space="0"/>
              <w:left w:val="nil"/>
              <w:bottom w:val="nil"/>
              <w:right w:val="nil"/>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firstLine="420" w:firstLineChars="200"/>
              <w:jc w:val="left"/>
              <w:textAlignment w:val="auto"/>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备注：</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auto"/>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 xml:space="preserve">1.各地级以上市乡村人口不包含财政省直管县数据；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firstLine="420" w:firstLineChars="200"/>
              <w:jc w:val="left"/>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val="en-US" w:eastAsia="zh-CN" w:bidi="ar"/>
              </w:rPr>
              <w:t xml:space="preserve">2.根据各区域村卫生站服务人口数（即乡村人口数）按标准分配补助，要求各市严格按村卫生站实施基本药物制度工作要求推进和落实村卫生站基本药物制度，对已实施基本药物制度的村卫生站医生给予补助。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firstLine="420" w:firstLineChars="200"/>
              <w:jc w:val="left"/>
              <w:textAlignment w:val="auto"/>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3.东莞市、佛山无村卫生站，不安排补助资金。</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firstLine="420" w:firstLineChars="200"/>
              <w:jc w:val="left"/>
              <w:textAlignment w:val="auto"/>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4.本表分配的中央财政村卫生室实施基本药物制度补助资金不含深汕合作区，深汕合作区补助资金由深圳市统筹安排。</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firstLine="420" w:firstLineChars="200"/>
              <w:jc w:val="left"/>
              <w:textAlignment w:val="auto"/>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color w:val="auto"/>
                <w:kern w:val="0"/>
                <w:sz w:val="21"/>
                <w:szCs w:val="21"/>
                <w:highlight w:val="none"/>
                <w:lang w:val="en-US" w:eastAsia="zh-CN" w:bidi="ar"/>
              </w:rPr>
              <w:t>5.为平衡分配数据，广州市补助资金调增2万元。</w:t>
            </w:r>
          </w:p>
        </w:tc>
      </w:tr>
    </w:tbl>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3" w:firstLineChars="200"/>
        <w:jc w:val="left"/>
        <w:textAlignment w:val="auto"/>
        <w:rPr>
          <w:rFonts w:hint="eastAsia" w:ascii="Times New Roman" w:hAnsi="Times New Roman" w:eastAsia="仿宋_GB2312" w:cs="Times New Roman"/>
          <w:b/>
          <w:bCs/>
          <w:snapToGrid w:val="0"/>
          <w:color w:val="auto"/>
          <w:sz w:val="32"/>
          <w:szCs w:val="32"/>
          <w:highlight w:val="none"/>
          <w:lang w:eastAsia="zh-CN"/>
        </w:rPr>
      </w:pPr>
      <w:r>
        <w:rPr>
          <w:rFonts w:hint="default" w:ascii="Times New Roman" w:hAnsi="Times New Roman" w:eastAsia="仿宋_GB2312" w:cs="Times New Roman"/>
          <w:b/>
          <w:bCs/>
          <w:i w:val="0"/>
          <w:iCs w:val="0"/>
          <w:caps w:val="0"/>
          <w:snapToGrid w:val="0"/>
          <w:color w:val="auto"/>
          <w:spacing w:val="0"/>
          <w:sz w:val="32"/>
          <w:szCs w:val="32"/>
          <w:highlight w:val="none"/>
          <w:shd w:val="clear" w:color="auto" w:fill="auto"/>
          <w:lang w:val="en-US" w:eastAsia="zh-CN"/>
        </w:rPr>
        <w:t>2</w:t>
      </w:r>
      <w:r>
        <w:rPr>
          <w:rFonts w:hint="eastAsia" w:ascii="仿宋_GB2312" w:hAnsi="仿宋_GB2312" w:eastAsia="仿宋_GB2312" w:cs="仿宋_GB2312"/>
          <w:b/>
          <w:bCs/>
          <w:i w:val="0"/>
          <w:iCs w:val="0"/>
          <w:caps w:val="0"/>
          <w:snapToGrid w:val="0"/>
          <w:color w:val="auto"/>
          <w:spacing w:val="0"/>
          <w:sz w:val="32"/>
          <w:szCs w:val="32"/>
          <w:highlight w:val="none"/>
          <w:shd w:val="clear" w:color="auto" w:fill="auto"/>
          <w:lang w:val="en-US" w:eastAsia="zh-CN"/>
        </w:rPr>
        <w:t>.省</w:t>
      </w:r>
      <w:r>
        <w:rPr>
          <w:rFonts w:hint="default" w:ascii="Times New Roman" w:hAnsi="Times New Roman" w:cs="Times New Roman"/>
          <w:b/>
          <w:bCs/>
          <w:i w:val="0"/>
          <w:iCs w:val="0"/>
          <w:caps w:val="0"/>
          <w:snapToGrid w:val="0"/>
          <w:color w:val="auto"/>
          <w:spacing w:val="0"/>
          <w:sz w:val="32"/>
          <w:szCs w:val="32"/>
          <w:highlight w:val="none"/>
          <w:shd w:val="clear" w:color="auto" w:fill="auto"/>
          <w:lang w:val="en-US" w:eastAsia="zh-CN"/>
        </w:rPr>
        <w:t>内</w:t>
      </w:r>
      <w:r>
        <w:rPr>
          <w:rFonts w:hint="default" w:ascii="Times New Roman" w:hAnsi="Times New Roman" w:eastAsia="仿宋_GB2312" w:cs="Times New Roman"/>
          <w:b/>
          <w:bCs/>
          <w:snapToGrid w:val="0"/>
          <w:color w:val="auto"/>
          <w:sz w:val="32"/>
          <w:szCs w:val="32"/>
          <w:highlight w:val="none"/>
        </w:rPr>
        <w:t>绩效目标情况</w:t>
      </w:r>
      <w:r>
        <w:rPr>
          <w:rFonts w:hint="eastAsia" w:cs="Times New Roman"/>
          <w:b/>
          <w:bCs/>
          <w:snapToGrid w:val="0"/>
          <w:color w:val="auto"/>
          <w:sz w:val="32"/>
          <w:szCs w:val="32"/>
          <w:highlight w:val="none"/>
          <w:lang w:eastAsia="zh-CN"/>
        </w:rPr>
        <w:t>。</w:t>
      </w: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hint="default" w:ascii="Times New Roman" w:hAnsi="Times New Roman" w:cs="Times New Roman"/>
          <w:b w:val="0"/>
          <w:bCs w:val="0"/>
          <w:snapToGrid w:val="0"/>
          <w:color w:val="auto"/>
          <w:kern w:val="0"/>
          <w:sz w:val="32"/>
          <w:szCs w:val="32"/>
          <w:highlight w:val="none"/>
          <w:lang w:val="en-US" w:eastAsia="zh-CN" w:bidi="ar"/>
        </w:rPr>
      </w:pPr>
      <w:r>
        <w:rPr>
          <w:rFonts w:hint="default" w:ascii="Times New Roman" w:hAnsi="Times New Roman" w:eastAsia="仿宋_GB2312" w:cs="Times New Roman"/>
          <w:snapToGrid w:val="0"/>
          <w:color w:val="auto"/>
          <w:sz w:val="32"/>
          <w:szCs w:val="32"/>
          <w:highlight w:val="none"/>
          <w:lang w:val="en-US" w:eastAsia="zh-CN"/>
        </w:rPr>
        <w:t>参照</w:t>
      </w:r>
      <w:r>
        <w:rPr>
          <w:rFonts w:hint="default" w:ascii="Times New Roman" w:hAnsi="Times New Roman" w:eastAsia="仿宋_GB2312" w:cs="Times New Roman"/>
          <w:snapToGrid w:val="0"/>
          <w:color w:val="auto"/>
          <w:sz w:val="32"/>
          <w:szCs w:val="32"/>
          <w:highlight w:val="none"/>
        </w:rPr>
        <w:t>《2022年度中央对地方专项转移支付区域绩效目标表》</w:t>
      </w:r>
      <w:r>
        <w:rPr>
          <w:rFonts w:hint="default" w:ascii="Times New Roman" w:hAnsi="Times New Roman" w:eastAsia="仿宋_GB2312" w:cs="Times New Roman"/>
          <w:snapToGrid w:val="0"/>
          <w:color w:val="auto"/>
          <w:sz w:val="32"/>
          <w:szCs w:val="32"/>
          <w:highlight w:val="none"/>
          <w:lang w:eastAsia="zh-CN"/>
        </w:rPr>
        <w:t>，</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val="en-US" w:eastAsia="zh-CN"/>
        </w:rPr>
        <w:t>结合全省工作实际情况</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eastAsia="zh-CN"/>
        </w:rPr>
        <w:t>，</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val="en-US" w:eastAsia="zh-CN"/>
        </w:rPr>
        <w:t>我省认真</w:t>
      </w:r>
      <w:r>
        <w:rPr>
          <w:rFonts w:hint="default" w:ascii="Times New Roman" w:hAnsi="Times New Roman" w:cs="Times New Roman"/>
          <w:i w:val="0"/>
          <w:iCs w:val="0"/>
          <w:caps w:val="0"/>
          <w:snapToGrid w:val="0"/>
          <w:color w:val="auto"/>
          <w:spacing w:val="0"/>
          <w:sz w:val="32"/>
          <w:szCs w:val="32"/>
          <w:highlight w:val="none"/>
          <w:shd w:val="clear" w:color="auto" w:fill="FFFFFF"/>
          <w:lang w:val="en-US" w:eastAsia="zh-CN"/>
        </w:rPr>
        <w:t>研究</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val="en-US" w:eastAsia="zh-CN"/>
        </w:rPr>
        <w:t>制订</w:t>
      </w:r>
      <w:r>
        <w:rPr>
          <w:rFonts w:hint="default" w:ascii="Times New Roman" w:hAnsi="Times New Roman" w:eastAsia="仿宋_GB2312" w:cs="Times New Roman"/>
          <w:snapToGrid w:val="0"/>
          <w:color w:val="auto"/>
          <w:spacing w:val="0"/>
          <w:kern w:val="0"/>
          <w:sz w:val="32"/>
          <w:szCs w:val="32"/>
          <w:highlight w:val="none"/>
          <w:lang w:val="en-US" w:eastAsia="zh-CN"/>
        </w:rPr>
        <w:t>了2022年度项目绩效</w:t>
      </w:r>
      <w:r>
        <w:rPr>
          <w:rFonts w:hint="default" w:ascii="Times New Roman" w:hAnsi="Times New Roman" w:cs="Times New Roman"/>
          <w:snapToGrid w:val="0"/>
          <w:color w:val="auto"/>
          <w:spacing w:val="0"/>
          <w:kern w:val="0"/>
          <w:sz w:val="32"/>
          <w:szCs w:val="32"/>
          <w:highlight w:val="none"/>
          <w:lang w:val="en-US" w:eastAsia="zh-CN"/>
        </w:rPr>
        <w:t>总目标及绩效指标</w:t>
      </w:r>
      <w:r>
        <w:rPr>
          <w:rFonts w:hint="default" w:ascii="Times New Roman" w:hAnsi="Times New Roman" w:eastAsia="仿宋_GB2312" w:cs="Times New Roman"/>
          <w:b w:val="0"/>
          <w:bCs w:val="0"/>
          <w:snapToGrid w:val="0"/>
          <w:color w:val="auto"/>
          <w:sz w:val="32"/>
          <w:szCs w:val="32"/>
          <w:highlight w:val="none"/>
          <w:lang w:val="en-US" w:eastAsia="zh-CN"/>
        </w:rPr>
        <w:t>。并在向</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val="en-US" w:eastAsia="zh-CN"/>
        </w:rPr>
        <w:t>各地各单位</w:t>
      </w:r>
      <w:r>
        <w:rPr>
          <w:rFonts w:hint="default" w:ascii="Times New Roman" w:hAnsi="Times New Roman" w:eastAsia="仿宋_GB2312" w:cs="Times New Roman"/>
          <w:b w:val="0"/>
          <w:bCs w:val="0"/>
          <w:snapToGrid w:val="0"/>
          <w:color w:val="auto"/>
          <w:sz w:val="32"/>
          <w:szCs w:val="32"/>
          <w:highlight w:val="none"/>
          <w:lang w:val="en-US" w:eastAsia="zh-CN"/>
        </w:rPr>
        <w:t>下达转移</w:t>
      </w:r>
      <w:r>
        <w:rPr>
          <w:rFonts w:hint="default" w:ascii="Times New Roman" w:hAnsi="Times New Roman" w:cs="Times New Roman"/>
          <w:b w:val="0"/>
          <w:bCs w:val="0"/>
          <w:snapToGrid w:val="0"/>
          <w:color w:val="auto"/>
          <w:sz w:val="32"/>
          <w:szCs w:val="32"/>
          <w:highlight w:val="none"/>
          <w:lang w:val="en-US" w:eastAsia="zh-CN"/>
        </w:rPr>
        <w:t>支</w:t>
      </w:r>
      <w:r>
        <w:rPr>
          <w:rFonts w:hint="default" w:ascii="Times New Roman" w:hAnsi="Times New Roman" w:eastAsia="仿宋_GB2312" w:cs="Times New Roman"/>
          <w:b w:val="0"/>
          <w:bCs w:val="0"/>
          <w:snapToGrid w:val="0"/>
          <w:color w:val="auto"/>
          <w:sz w:val="32"/>
          <w:szCs w:val="32"/>
          <w:highlight w:val="none"/>
          <w:lang w:val="en-US" w:eastAsia="zh-CN"/>
        </w:rPr>
        <w:t>付预算时，同步下达</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eastAsia="zh-CN"/>
        </w:rPr>
        <w:t>2022年</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rPr>
        <w:t>度中央对地方转移支付</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val="en-US" w:eastAsia="zh-CN"/>
        </w:rPr>
        <w:t>总体</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rPr>
        <w:t>绩效目标</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val="en-US" w:eastAsia="zh-CN"/>
        </w:rPr>
        <w:t>和绩效指标</w:t>
      </w:r>
      <w:r>
        <w:rPr>
          <w:rFonts w:hint="default" w:ascii="Times New Roman" w:hAnsi="Times New Roman" w:eastAsia="仿宋_GB2312" w:cs="Times New Roman"/>
          <w:b w:val="0"/>
          <w:bCs w:val="0"/>
          <w:snapToGrid w:val="0"/>
          <w:color w:val="auto"/>
          <w:sz w:val="32"/>
          <w:szCs w:val="32"/>
          <w:highlight w:val="none"/>
          <w:lang w:val="en-US" w:eastAsia="zh-CN"/>
        </w:rPr>
        <w:t>。</w:t>
      </w:r>
      <w:r>
        <w:rPr>
          <w:rFonts w:hint="default" w:ascii="Times New Roman" w:hAnsi="Times New Roman" w:cs="Times New Roman"/>
          <w:b w:val="0"/>
          <w:bCs w:val="0"/>
          <w:snapToGrid w:val="0"/>
          <w:color w:val="auto"/>
          <w:sz w:val="32"/>
          <w:szCs w:val="32"/>
          <w:highlight w:val="none"/>
          <w:lang w:val="en-US" w:eastAsia="zh-CN"/>
        </w:rPr>
        <w:t>省内</w:t>
      </w:r>
      <w:r>
        <w:rPr>
          <w:rFonts w:hint="default" w:ascii="Times New Roman" w:hAnsi="Times New Roman" w:eastAsia="仿宋_GB2312" w:cs="Times New Roman"/>
          <w:b w:val="0"/>
          <w:bCs w:val="0"/>
          <w:snapToGrid w:val="0"/>
          <w:color w:val="auto"/>
          <w:kern w:val="0"/>
          <w:sz w:val="32"/>
          <w:szCs w:val="32"/>
          <w:highlight w:val="none"/>
          <w:lang w:val="en-US" w:eastAsia="zh-CN" w:bidi="ar"/>
        </w:rPr>
        <w:t>年度</w:t>
      </w:r>
      <w:r>
        <w:rPr>
          <w:rFonts w:hint="default" w:ascii="Times New Roman" w:hAnsi="Times New Roman" w:eastAsia="仿宋_GB2312" w:cs="Times New Roman"/>
          <w:b w:val="0"/>
          <w:bCs w:val="0"/>
          <w:snapToGrid w:val="0"/>
          <w:color w:val="auto"/>
          <w:sz w:val="32"/>
          <w:szCs w:val="32"/>
          <w:highlight w:val="none"/>
        </w:rPr>
        <w:t>绩效</w:t>
      </w:r>
      <w:r>
        <w:rPr>
          <w:rFonts w:hint="default" w:ascii="Times New Roman" w:hAnsi="Times New Roman" w:eastAsia="仿宋_GB2312" w:cs="Times New Roman"/>
          <w:b w:val="0"/>
          <w:bCs w:val="0"/>
          <w:snapToGrid w:val="0"/>
          <w:color w:val="auto"/>
          <w:sz w:val="32"/>
          <w:szCs w:val="32"/>
          <w:highlight w:val="none"/>
          <w:lang w:val="en-US" w:eastAsia="zh-CN"/>
        </w:rPr>
        <w:t>总体</w:t>
      </w:r>
      <w:r>
        <w:rPr>
          <w:rFonts w:hint="default" w:ascii="Times New Roman" w:hAnsi="Times New Roman" w:eastAsia="仿宋_GB2312" w:cs="Times New Roman"/>
          <w:b w:val="0"/>
          <w:bCs w:val="0"/>
          <w:snapToGrid w:val="0"/>
          <w:color w:val="auto"/>
          <w:sz w:val="32"/>
          <w:szCs w:val="32"/>
          <w:highlight w:val="none"/>
        </w:rPr>
        <w:t>目标</w:t>
      </w:r>
      <w:r>
        <w:rPr>
          <w:rFonts w:hint="default" w:ascii="Times New Roman" w:hAnsi="Times New Roman" w:cs="Times New Roman"/>
          <w:b w:val="0"/>
          <w:bCs w:val="0"/>
          <w:snapToGrid w:val="0"/>
          <w:color w:val="auto"/>
          <w:kern w:val="0"/>
          <w:sz w:val="32"/>
          <w:szCs w:val="32"/>
          <w:highlight w:val="none"/>
          <w:lang w:val="en-US" w:eastAsia="zh-CN" w:bidi="ar"/>
        </w:rPr>
        <w:t>与中央保持一致；</w:t>
      </w:r>
      <w:r>
        <w:rPr>
          <w:rFonts w:hint="default" w:ascii="Times New Roman" w:hAnsi="Times New Roman" w:cs="Times New Roman"/>
          <w:b w:val="0"/>
          <w:bCs w:val="0"/>
          <w:snapToGrid w:val="0"/>
          <w:color w:val="auto"/>
          <w:sz w:val="32"/>
          <w:szCs w:val="32"/>
          <w:highlight w:val="none"/>
          <w:lang w:eastAsia="zh-CN"/>
        </w:rPr>
        <w:t>三级</w:t>
      </w:r>
      <w:r>
        <w:rPr>
          <w:rFonts w:hint="default" w:ascii="Times New Roman" w:hAnsi="Times New Roman" w:eastAsia="仿宋_GB2312" w:cs="Times New Roman"/>
          <w:b w:val="0"/>
          <w:bCs w:val="0"/>
          <w:snapToGrid w:val="0"/>
          <w:color w:val="auto"/>
          <w:kern w:val="0"/>
          <w:sz w:val="32"/>
          <w:szCs w:val="32"/>
          <w:highlight w:val="none"/>
          <w:lang w:val="en-US" w:eastAsia="zh-CN" w:bidi="ar"/>
        </w:rPr>
        <w:t>绩效指标</w:t>
      </w:r>
      <w:r>
        <w:rPr>
          <w:rFonts w:hint="default" w:ascii="Times New Roman" w:hAnsi="Times New Roman" w:cs="Times New Roman"/>
          <w:b w:val="0"/>
          <w:bCs w:val="0"/>
          <w:snapToGrid w:val="0"/>
          <w:color w:val="auto"/>
          <w:kern w:val="0"/>
          <w:sz w:val="32"/>
          <w:szCs w:val="32"/>
          <w:highlight w:val="none"/>
          <w:lang w:val="en-US" w:eastAsia="zh-CN" w:bidi="ar"/>
        </w:rPr>
        <w:t>中有一项的指标值低于中央，其余与中央一致（详见表2）。</w:t>
      </w:r>
    </w:p>
    <w:p>
      <w:pPr>
        <w:pStyle w:val="7"/>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jc w:val="center"/>
        <w:textAlignment w:val="auto"/>
        <w:rPr>
          <w:rFonts w:hint="default" w:ascii="Times New Roman" w:hAnsi="Times New Roman" w:eastAsia="宋体" w:cs="Times New Roman"/>
          <w:b/>
          <w:bCs/>
          <w:snapToGrid w:val="0"/>
          <w:color w:val="auto"/>
          <w:kern w:val="0"/>
          <w:sz w:val="28"/>
          <w:szCs w:val="28"/>
          <w:highlight w:val="none"/>
          <w:lang w:val="en-US" w:eastAsia="zh-CN"/>
        </w:rPr>
      </w:pPr>
      <w:r>
        <w:rPr>
          <w:rFonts w:hint="default" w:ascii="Times New Roman" w:hAnsi="Times New Roman" w:eastAsia="宋体" w:cs="Times New Roman"/>
          <w:b/>
          <w:bCs/>
          <w:snapToGrid w:val="0"/>
          <w:color w:val="auto"/>
          <w:kern w:val="0"/>
          <w:sz w:val="28"/>
          <w:szCs w:val="28"/>
          <w:highlight w:val="none"/>
          <w:lang w:val="en-US" w:eastAsia="zh-CN"/>
        </w:rPr>
        <w:t>表</w:t>
      </w:r>
      <w:r>
        <w:rPr>
          <w:rFonts w:hint="default" w:ascii="Times New Roman" w:hAnsi="Times New Roman" w:eastAsia="仿宋_GB2312" w:cs="Times New Roman"/>
          <w:b/>
          <w:bCs/>
          <w:snapToGrid w:val="0"/>
          <w:color w:val="auto"/>
          <w:kern w:val="0"/>
          <w:sz w:val="28"/>
          <w:szCs w:val="28"/>
          <w:highlight w:val="none"/>
          <w:lang w:val="en-US" w:eastAsia="zh-CN"/>
        </w:rPr>
        <w:t>2</w:t>
      </w:r>
      <w:r>
        <w:rPr>
          <w:rFonts w:hint="default" w:ascii="Times New Roman" w:hAnsi="Times New Roman" w:eastAsia="宋体" w:cs="Times New Roman"/>
          <w:b/>
          <w:bCs/>
          <w:snapToGrid w:val="0"/>
          <w:color w:val="auto"/>
          <w:kern w:val="0"/>
          <w:sz w:val="28"/>
          <w:szCs w:val="28"/>
          <w:highlight w:val="none"/>
          <w:lang w:val="en-US" w:eastAsia="zh-CN"/>
        </w:rPr>
        <w:t xml:space="preserve"> </w:t>
      </w:r>
      <w:r>
        <w:rPr>
          <w:rFonts w:hint="eastAsia" w:eastAsia="宋体" w:cs="Times New Roman"/>
          <w:b/>
          <w:bCs/>
          <w:snapToGrid w:val="0"/>
          <w:color w:val="auto"/>
          <w:kern w:val="0"/>
          <w:sz w:val="28"/>
          <w:szCs w:val="28"/>
          <w:highlight w:val="none"/>
          <w:lang w:val="en-US" w:eastAsia="zh-CN"/>
        </w:rPr>
        <w:t xml:space="preserve"> </w:t>
      </w:r>
      <w:r>
        <w:rPr>
          <w:rFonts w:hint="default" w:ascii="Times New Roman" w:hAnsi="Times New Roman" w:eastAsia="宋体" w:cs="Times New Roman"/>
          <w:b/>
          <w:bCs/>
          <w:snapToGrid w:val="0"/>
          <w:color w:val="auto"/>
          <w:kern w:val="0"/>
          <w:sz w:val="28"/>
          <w:szCs w:val="28"/>
          <w:highlight w:val="none"/>
          <w:lang w:val="en-US" w:eastAsia="zh-CN"/>
        </w:rPr>
        <w:t>广东省财政下达中央对地方专项转移支付区域绩效目标情况</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0"/>
        <w:gridCol w:w="830"/>
        <w:gridCol w:w="3965"/>
        <w:gridCol w:w="1516"/>
        <w:gridCol w:w="19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blHeader/>
          <w:jc w:val="center"/>
        </w:trPr>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黑体" w:hAnsi="黑体" w:eastAsia="黑体" w:cs="黑体"/>
                <w:b w:val="0"/>
                <w:bCs w:val="0"/>
                <w:i w:val="0"/>
                <w:iCs w:val="0"/>
                <w:color w:val="auto"/>
                <w:sz w:val="24"/>
                <w:szCs w:val="24"/>
                <w:highlight w:val="none"/>
                <w:u w:val="none"/>
              </w:rPr>
            </w:pPr>
            <w:r>
              <w:rPr>
                <w:rFonts w:hint="eastAsia" w:ascii="黑体" w:hAnsi="黑体" w:eastAsia="黑体" w:cs="黑体"/>
                <w:b w:val="0"/>
                <w:bCs w:val="0"/>
                <w:i w:val="0"/>
                <w:iCs w:val="0"/>
                <w:color w:val="auto"/>
                <w:kern w:val="0"/>
                <w:sz w:val="24"/>
                <w:szCs w:val="24"/>
                <w:highlight w:val="none"/>
                <w:u w:val="none"/>
                <w:lang w:val="en-US" w:eastAsia="zh-CN" w:bidi="ar"/>
              </w:rPr>
              <w:t>一级指标</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黑体" w:hAnsi="黑体" w:eastAsia="黑体" w:cs="黑体"/>
                <w:b w:val="0"/>
                <w:bCs w:val="0"/>
                <w:i w:val="0"/>
                <w:iCs w:val="0"/>
                <w:color w:val="auto"/>
                <w:sz w:val="24"/>
                <w:szCs w:val="24"/>
                <w:highlight w:val="none"/>
                <w:u w:val="none"/>
              </w:rPr>
            </w:pPr>
            <w:r>
              <w:rPr>
                <w:rFonts w:hint="eastAsia" w:ascii="黑体" w:hAnsi="黑体" w:eastAsia="黑体" w:cs="黑体"/>
                <w:b w:val="0"/>
                <w:bCs w:val="0"/>
                <w:i w:val="0"/>
                <w:iCs w:val="0"/>
                <w:color w:val="auto"/>
                <w:kern w:val="0"/>
                <w:sz w:val="24"/>
                <w:szCs w:val="24"/>
                <w:highlight w:val="none"/>
                <w:u w:val="none"/>
                <w:lang w:val="en-US" w:eastAsia="zh-CN" w:bidi="ar"/>
              </w:rPr>
              <w:t>二级指标</w:t>
            </w:r>
          </w:p>
        </w:tc>
        <w:tc>
          <w:tcPr>
            <w:tcW w:w="3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黑体" w:hAnsi="黑体" w:eastAsia="黑体" w:cs="黑体"/>
                <w:b w:val="0"/>
                <w:bCs w:val="0"/>
                <w:i w:val="0"/>
                <w:iCs w:val="0"/>
                <w:color w:val="auto"/>
                <w:sz w:val="24"/>
                <w:szCs w:val="24"/>
                <w:highlight w:val="none"/>
                <w:u w:val="none"/>
              </w:rPr>
            </w:pPr>
            <w:r>
              <w:rPr>
                <w:rFonts w:hint="eastAsia" w:ascii="黑体" w:hAnsi="黑体" w:eastAsia="黑体" w:cs="黑体"/>
                <w:b w:val="0"/>
                <w:bCs w:val="0"/>
                <w:i w:val="0"/>
                <w:iCs w:val="0"/>
                <w:color w:val="auto"/>
                <w:kern w:val="0"/>
                <w:sz w:val="24"/>
                <w:szCs w:val="24"/>
                <w:highlight w:val="none"/>
                <w:u w:val="none"/>
                <w:lang w:val="en-US" w:eastAsia="zh-CN" w:bidi="ar"/>
              </w:rPr>
              <w:t>三级指标</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黑体" w:hAnsi="黑体" w:eastAsia="黑体" w:cs="黑体"/>
                <w:b w:val="0"/>
                <w:bCs w:val="0"/>
                <w:i w:val="0"/>
                <w:iCs w:val="0"/>
                <w:color w:val="auto"/>
                <w:sz w:val="24"/>
                <w:szCs w:val="24"/>
                <w:highlight w:val="none"/>
                <w:u w:val="none"/>
              </w:rPr>
            </w:pPr>
            <w:r>
              <w:rPr>
                <w:rFonts w:hint="eastAsia" w:ascii="黑体" w:hAnsi="黑体" w:eastAsia="黑体" w:cs="黑体"/>
                <w:b w:val="0"/>
                <w:bCs w:val="0"/>
                <w:i w:val="0"/>
                <w:iCs w:val="0"/>
                <w:color w:val="auto"/>
                <w:kern w:val="0"/>
                <w:sz w:val="24"/>
                <w:szCs w:val="24"/>
                <w:highlight w:val="none"/>
                <w:u w:val="none"/>
                <w:lang w:val="en-US" w:eastAsia="zh-CN" w:bidi="ar"/>
              </w:rPr>
              <w:t>指标值</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黑体" w:hAnsi="黑体" w:eastAsia="黑体" w:cs="黑体"/>
                <w:b w:val="0"/>
                <w:bCs w:val="0"/>
                <w:i w:val="0"/>
                <w:iCs w:val="0"/>
                <w:color w:val="auto"/>
                <w:kern w:val="0"/>
                <w:sz w:val="24"/>
                <w:szCs w:val="24"/>
                <w:highlight w:val="none"/>
                <w:u w:val="none"/>
                <w:lang w:val="en-US" w:eastAsia="zh-CN" w:bidi="ar"/>
              </w:rPr>
            </w:pPr>
            <w:r>
              <w:rPr>
                <w:rFonts w:hint="eastAsia" w:ascii="黑体" w:hAnsi="黑体" w:eastAsia="黑体" w:cs="黑体"/>
                <w:b w:val="0"/>
                <w:bCs w:val="0"/>
                <w:i w:val="0"/>
                <w:iCs w:val="0"/>
                <w:color w:val="auto"/>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产出指标</w:t>
            </w:r>
          </w:p>
        </w:tc>
        <w:tc>
          <w:tcPr>
            <w:tcW w:w="8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数量指标</w:t>
            </w:r>
          </w:p>
        </w:tc>
        <w:tc>
          <w:tcPr>
            <w:tcW w:w="3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left"/>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实施基本药物制度的政府办基层医疗卫生机构占比</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100%</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300" w:lineRule="exact"/>
              <w:jc w:val="center"/>
              <w:rPr>
                <w:rFonts w:hint="default" w:ascii="Times New Roman" w:hAnsi="Times New Roman" w:eastAsia="仿宋" w:cs="Times New Roman"/>
                <w:i w:val="0"/>
                <w:iCs w:val="0"/>
                <w:color w:val="auto"/>
                <w:sz w:val="24"/>
                <w:szCs w:val="24"/>
                <w:highlight w:val="none"/>
                <w:u w:val="none"/>
              </w:rPr>
            </w:pPr>
          </w:p>
        </w:tc>
        <w:tc>
          <w:tcPr>
            <w:tcW w:w="8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300" w:lineRule="exact"/>
              <w:jc w:val="center"/>
              <w:rPr>
                <w:rFonts w:hint="default" w:ascii="Times New Roman" w:hAnsi="Times New Roman" w:eastAsia="仿宋" w:cs="Times New Roman"/>
                <w:i w:val="0"/>
                <w:iCs w:val="0"/>
                <w:color w:val="auto"/>
                <w:sz w:val="24"/>
                <w:szCs w:val="24"/>
                <w:highlight w:val="none"/>
                <w:u w:val="none"/>
              </w:rPr>
            </w:pPr>
          </w:p>
        </w:tc>
        <w:tc>
          <w:tcPr>
            <w:tcW w:w="3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left"/>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实施基本药物制度的村卫生室占比</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100%</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300" w:lineRule="exact"/>
              <w:jc w:val="center"/>
              <w:rPr>
                <w:rFonts w:hint="default" w:ascii="Times New Roman" w:hAnsi="Times New Roman" w:eastAsia="仿宋" w:cs="Times New Roman"/>
                <w:i w:val="0"/>
                <w:iCs w:val="0"/>
                <w:color w:val="auto"/>
                <w:sz w:val="24"/>
                <w:szCs w:val="24"/>
                <w:highlight w:val="none"/>
                <w:u w:val="none"/>
              </w:rPr>
            </w:pPr>
          </w:p>
        </w:tc>
        <w:tc>
          <w:tcPr>
            <w:tcW w:w="8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质量指标</w:t>
            </w:r>
          </w:p>
        </w:tc>
        <w:tc>
          <w:tcPr>
            <w:tcW w:w="3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left"/>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基层医疗卫生机构“优质服务基层行”活动开展评价机构数比例</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≥95%</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300" w:lineRule="exact"/>
              <w:jc w:val="center"/>
              <w:rPr>
                <w:rFonts w:hint="default" w:ascii="Times New Roman" w:hAnsi="Times New Roman" w:eastAsia="仿宋" w:cs="Times New Roman"/>
                <w:i w:val="0"/>
                <w:iCs w:val="0"/>
                <w:color w:val="auto"/>
                <w:sz w:val="24"/>
                <w:szCs w:val="24"/>
                <w:highlight w:val="none"/>
                <w:u w:val="none"/>
              </w:rPr>
            </w:pPr>
          </w:p>
        </w:tc>
        <w:tc>
          <w:tcPr>
            <w:tcW w:w="8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300" w:lineRule="exact"/>
              <w:jc w:val="center"/>
              <w:rPr>
                <w:rFonts w:hint="default" w:ascii="Times New Roman" w:hAnsi="Times New Roman" w:eastAsia="仿宋" w:cs="Times New Roman"/>
                <w:i w:val="0"/>
                <w:iCs w:val="0"/>
                <w:color w:val="auto"/>
                <w:sz w:val="24"/>
                <w:szCs w:val="24"/>
                <w:highlight w:val="none"/>
                <w:u w:val="none"/>
              </w:rPr>
            </w:pPr>
          </w:p>
        </w:tc>
        <w:tc>
          <w:tcPr>
            <w:tcW w:w="3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left"/>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基层医疗卫生机构“优质服务基层行”活动达到基本标准及以上的比例</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 w:cs="Times New Roman"/>
                <w:i w:val="0"/>
                <w:iCs w:val="0"/>
                <w:color w:val="auto"/>
                <w:sz w:val="24"/>
                <w:szCs w:val="24"/>
                <w:highlight w:val="none"/>
                <w:u w:val="none"/>
                <w:lang w:eastAsia="zh-CN"/>
              </w:rPr>
            </w:pPr>
            <w:r>
              <w:rPr>
                <w:rFonts w:hint="default" w:ascii="Times New Roman" w:hAnsi="Times New Roman" w:eastAsia="仿宋" w:cs="Times New Roman"/>
                <w:i w:val="0"/>
                <w:iCs w:val="0"/>
                <w:color w:val="auto"/>
                <w:sz w:val="24"/>
                <w:szCs w:val="24"/>
                <w:highlight w:val="none"/>
                <w:u w:val="none"/>
                <w:lang w:eastAsia="zh-CN"/>
              </w:rPr>
              <w:t>稳步提高</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tabs>
                <w:tab w:val="left" w:pos="422"/>
              </w:tabs>
              <w:kinsoku/>
              <w:wordWrap/>
              <w:overflowPunct/>
              <w:topLinePunct w:val="0"/>
              <w:autoSpaceDE/>
              <w:autoSpaceDN/>
              <w:bidi w:val="0"/>
              <w:adjustRightInd/>
              <w:spacing w:line="300" w:lineRule="exact"/>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 w:cs="Times New Roman"/>
                <w:i w:val="0"/>
                <w:iCs w:val="0"/>
                <w:color w:val="auto"/>
                <w:kern w:val="0"/>
                <w:sz w:val="24"/>
                <w:szCs w:val="24"/>
                <w:highlight w:val="none"/>
                <w:u w:val="none"/>
                <w:lang w:val="en-US" w:eastAsia="zh-CN" w:bidi="ar"/>
              </w:rPr>
              <w:t>中央指标值为≧60%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效益指标</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经济效益</w:t>
            </w:r>
          </w:p>
        </w:tc>
        <w:tc>
          <w:tcPr>
            <w:tcW w:w="3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left"/>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乡村医生收入</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保持稳定</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300" w:lineRule="exact"/>
              <w:jc w:val="center"/>
              <w:rPr>
                <w:rFonts w:hint="default" w:ascii="Times New Roman" w:hAnsi="Times New Roman" w:eastAsia="仿宋" w:cs="Times New Roman"/>
                <w:i w:val="0"/>
                <w:iCs w:val="0"/>
                <w:color w:val="auto"/>
                <w:sz w:val="24"/>
                <w:szCs w:val="24"/>
                <w:highlight w:val="none"/>
                <w:u w:val="none"/>
              </w:rPr>
            </w:pPr>
          </w:p>
        </w:tc>
        <w:tc>
          <w:tcPr>
            <w:tcW w:w="8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可持续影响指标</w:t>
            </w:r>
          </w:p>
        </w:tc>
        <w:tc>
          <w:tcPr>
            <w:tcW w:w="3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left"/>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国家基本药物制度在基层持续实施</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中长期</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300" w:lineRule="exact"/>
              <w:jc w:val="center"/>
              <w:rPr>
                <w:rFonts w:hint="default" w:ascii="Times New Roman" w:hAnsi="Times New Roman" w:eastAsia="仿宋" w:cs="Times New Roman"/>
                <w:i w:val="0"/>
                <w:iCs w:val="0"/>
                <w:color w:val="auto"/>
                <w:sz w:val="24"/>
                <w:szCs w:val="24"/>
                <w:highlight w:val="none"/>
                <w:u w:val="none"/>
              </w:rPr>
            </w:pPr>
          </w:p>
        </w:tc>
        <w:tc>
          <w:tcPr>
            <w:tcW w:w="8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300" w:lineRule="exact"/>
              <w:jc w:val="center"/>
              <w:rPr>
                <w:rFonts w:hint="default" w:ascii="Times New Roman" w:hAnsi="Times New Roman" w:eastAsia="仿宋" w:cs="Times New Roman"/>
                <w:i w:val="0"/>
                <w:iCs w:val="0"/>
                <w:color w:val="auto"/>
                <w:sz w:val="24"/>
                <w:szCs w:val="24"/>
                <w:highlight w:val="none"/>
                <w:u w:val="none"/>
              </w:rPr>
            </w:pPr>
          </w:p>
        </w:tc>
        <w:tc>
          <w:tcPr>
            <w:tcW w:w="3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left"/>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医共体建设符合”紧密型”、“控费用”、同质化”、“促分工”发展方向</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稳步发展</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napToGrid w:val="0"/>
          <w:color w:val="auto"/>
          <w:sz w:val="32"/>
          <w:szCs w:val="32"/>
          <w:highlight w:val="none"/>
        </w:rPr>
      </w:pPr>
      <w:r>
        <w:rPr>
          <w:rFonts w:hint="default" w:ascii="Times New Roman" w:hAnsi="Times New Roman" w:eastAsia="黑体" w:cs="Times New Roman"/>
          <w:b w:val="0"/>
          <w:bCs/>
          <w:snapToGrid w:val="0"/>
          <w:color w:val="auto"/>
          <w:sz w:val="32"/>
          <w:szCs w:val="32"/>
          <w:highlight w:val="none"/>
        </w:rPr>
        <w:t>二、绩效目标完成情况分析</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firstLine="643" w:firstLineChars="201"/>
        <w:textAlignment w:val="auto"/>
        <w:outlineLvl w:val="0"/>
        <w:rPr>
          <w:rFonts w:hint="eastAsia" w:ascii="楷体_GB2312" w:hAnsi="楷体_GB2312" w:eastAsia="楷体_GB2312" w:cs="楷体_GB2312"/>
          <w:b w:val="0"/>
          <w:bCs w:val="0"/>
          <w:snapToGrid w:val="0"/>
          <w:color w:val="auto"/>
          <w:sz w:val="32"/>
          <w:szCs w:val="32"/>
          <w:highlight w:val="none"/>
          <w:lang w:eastAsia="zh-CN"/>
        </w:rPr>
      </w:pPr>
      <w:r>
        <w:rPr>
          <w:rFonts w:hint="eastAsia" w:ascii="楷体_GB2312" w:hAnsi="楷体_GB2312" w:eastAsia="楷体_GB2312" w:cs="楷体_GB2312"/>
          <w:b w:val="0"/>
          <w:bCs w:val="0"/>
          <w:snapToGrid w:val="0"/>
          <w:color w:val="auto"/>
          <w:sz w:val="32"/>
          <w:szCs w:val="32"/>
          <w:highlight w:val="none"/>
          <w:lang w:eastAsia="zh-CN"/>
        </w:rPr>
        <w:t>（</w:t>
      </w:r>
      <w:r>
        <w:rPr>
          <w:rFonts w:hint="eastAsia" w:ascii="楷体_GB2312" w:hAnsi="楷体_GB2312" w:eastAsia="楷体_GB2312" w:cs="楷体_GB2312"/>
          <w:b w:val="0"/>
          <w:bCs w:val="0"/>
          <w:snapToGrid w:val="0"/>
          <w:color w:val="auto"/>
          <w:sz w:val="32"/>
          <w:szCs w:val="32"/>
          <w:highlight w:val="none"/>
          <w:lang w:val="en-US" w:eastAsia="zh-CN"/>
        </w:rPr>
        <w:t>一</w:t>
      </w:r>
      <w:r>
        <w:rPr>
          <w:rFonts w:hint="eastAsia" w:ascii="楷体_GB2312" w:hAnsi="楷体_GB2312" w:eastAsia="楷体_GB2312" w:cs="楷体_GB2312"/>
          <w:b w:val="0"/>
          <w:bCs w:val="0"/>
          <w:snapToGrid w:val="0"/>
          <w:color w:val="auto"/>
          <w:sz w:val="32"/>
          <w:szCs w:val="32"/>
          <w:highlight w:val="none"/>
          <w:lang w:eastAsia="zh-CN"/>
        </w:rPr>
        <w:t>）</w:t>
      </w:r>
      <w:r>
        <w:rPr>
          <w:rFonts w:hint="eastAsia" w:ascii="楷体_GB2312" w:hAnsi="楷体_GB2312" w:eastAsia="楷体_GB2312" w:cs="楷体_GB2312"/>
          <w:b w:val="0"/>
          <w:bCs w:val="0"/>
          <w:snapToGrid w:val="0"/>
          <w:color w:val="auto"/>
          <w:sz w:val="32"/>
          <w:szCs w:val="32"/>
          <w:highlight w:val="none"/>
        </w:rPr>
        <w:t>资金投入情况分析</w:t>
      </w:r>
      <w:r>
        <w:rPr>
          <w:rFonts w:hint="eastAsia" w:ascii="楷体_GB2312" w:hAnsi="楷体_GB2312" w:eastAsia="楷体_GB2312" w:cs="楷体_GB2312"/>
          <w:b w:val="0"/>
          <w:bCs w:val="0"/>
          <w:snapToGrid w:val="0"/>
          <w:color w:val="auto"/>
          <w:sz w:val="32"/>
          <w:szCs w:val="32"/>
          <w:highlight w:val="none"/>
          <w:lang w:eastAsia="zh-CN"/>
        </w:rPr>
        <w:t>。</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6" w:firstLineChars="201"/>
        <w:jc w:val="both"/>
        <w:rPr>
          <w:rFonts w:hint="default" w:ascii="Times New Roman" w:hAnsi="Times New Roman" w:eastAsia="仿宋_GB2312" w:cs="Times New Roman"/>
          <w:b/>
          <w:bCs/>
          <w:snapToGrid w:val="0"/>
          <w:color w:val="auto"/>
          <w:kern w:val="0"/>
          <w:sz w:val="32"/>
          <w:szCs w:val="32"/>
          <w:highlight w:val="none"/>
          <w:lang w:val="en-US" w:eastAsia="zh-CN"/>
        </w:rPr>
      </w:pPr>
      <w:r>
        <w:rPr>
          <w:rFonts w:hint="default" w:ascii="Times New Roman" w:hAnsi="Times New Roman" w:eastAsia="仿宋_GB2312" w:cs="Times New Roman"/>
          <w:b/>
          <w:bCs/>
          <w:snapToGrid w:val="0"/>
          <w:color w:val="auto"/>
          <w:kern w:val="0"/>
          <w:sz w:val="32"/>
          <w:szCs w:val="32"/>
          <w:highlight w:val="none"/>
          <w:lang w:val="en-US" w:eastAsia="zh-CN"/>
        </w:rPr>
        <w:t>1</w:t>
      </w:r>
      <w:r>
        <w:rPr>
          <w:rFonts w:hint="eastAsia" w:ascii="仿宋_GB2312" w:hAnsi="仿宋_GB2312" w:eastAsia="仿宋_GB2312" w:cs="仿宋_GB2312"/>
          <w:b/>
          <w:bCs/>
          <w:snapToGrid w:val="0"/>
          <w:color w:val="auto"/>
          <w:kern w:val="0"/>
          <w:sz w:val="32"/>
          <w:szCs w:val="32"/>
          <w:highlight w:val="none"/>
          <w:lang w:val="en-US" w:eastAsia="zh-CN"/>
        </w:rPr>
        <w:t>.资</w:t>
      </w:r>
      <w:r>
        <w:rPr>
          <w:rFonts w:hint="default" w:ascii="Times New Roman" w:hAnsi="Times New Roman" w:eastAsia="仿宋_GB2312" w:cs="Times New Roman"/>
          <w:b/>
          <w:bCs/>
          <w:snapToGrid w:val="0"/>
          <w:color w:val="auto"/>
          <w:kern w:val="0"/>
          <w:sz w:val="32"/>
          <w:szCs w:val="32"/>
          <w:highlight w:val="none"/>
          <w:lang w:val="en-US" w:eastAsia="zh-CN"/>
        </w:rPr>
        <w:t>金投入情况</w:t>
      </w:r>
      <w:r>
        <w:rPr>
          <w:rFonts w:hint="eastAsia" w:cs="Times New Roman"/>
          <w:b/>
          <w:bCs/>
          <w:snapToGrid w:val="0"/>
          <w:color w:val="auto"/>
          <w:kern w:val="0"/>
          <w:sz w:val="32"/>
          <w:szCs w:val="32"/>
          <w:highlight w:val="none"/>
          <w:lang w:val="en-US" w:eastAsia="zh-CN"/>
        </w:rPr>
        <w:t>。</w:t>
      </w:r>
    </w:p>
    <w:p>
      <w:pPr>
        <w:pStyle w:val="8"/>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val="en-US" w:eastAsia="zh-CN"/>
        </w:rPr>
      </w:pPr>
      <w:r>
        <w:rPr>
          <w:rFonts w:hint="default" w:ascii="Times New Roman" w:hAnsi="Times New Roman" w:eastAsia="仿宋_GB2312" w:cs="Times New Roman"/>
          <w:snapToGrid w:val="0"/>
          <w:color w:val="auto"/>
          <w:kern w:val="0"/>
          <w:sz w:val="32"/>
          <w:szCs w:val="32"/>
          <w:highlight w:val="none"/>
          <w:lang w:val="en-US" w:eastAsia="zh-CN"/>
        </w:rPr>
        <w:t>2022年，中央和省财政投入我省基</w:t>
      </w:r>
      <w:r>
        <w:rPr>
          <w:rFonts w:hint="default" w:ascii="Times New Roman" w:hAnsi="Times New Roman" w:eastAsia="仿宋_GB2312" w:cs="Times New Roman"/>
          <w:snapToGrid w:val="0"/>
          <w:color w:val="auto"/>
          <w:kern w:val="0"/>
          <w:sz w:val="32"/>
          <w:szCs w:val="32"/>
          <w:highlight w:val="none"/>
        </w:rPr>
        <w:t>本药物</w:t>
      </w:r>
      <w:r>
        <w:rPr>
          <w:rFonts w:hint="default" w:ascii="Times New Roman" w:hAnsi="Times New Roman" w:eastAsia="仿宋_GB2312" w:cs="Times New Roman"/>
          <w:snapToGrid w:val="0"/>
          <w:color w:val="auto"/>
          <w:kern w:val="0"/>
          <w:sz w:val="32"/>
          <w:szCs w:val="32"/>
          <w:highlight w:val="none"/>
          <w:lang w:eastAsia="zh-CN"/>
        </w:rPr>
        <w:t>制度</w:t>
      </w:r>
      <w:r>
        <w:rPr>
          <w:rFonts w:hint="default" w:ascii="Times New Roman" w:hAnsi="Times New Roman" w:eastAsia="仿宋_GB2312" w:cs="Times New Roman"/>
          <w:snapToGrid w:val="0"/>
          <w:color w:val="auto"/>
          <w:kern w:val="0"/>
          <w:sz w:val="32"/>
          <w:szCs w:val="32"/>
          <w:highlight w:val="none"/>
          <w:lang w:val="en-US" w:eastAsia="zh-CN"/>
        </w:rPr>
        <w:t>专项资金合计34,760.00</w:t>
      </w:r>
      <w:r>
        <w:rPr>
          <w:rFonts w:hint="default" w:ascii="Times New Roman" w:hAnsi="Times New Roman" w:eastAsia="仿宋_GB2312" w:cs="Times New Roman"/>
          <w:i w:val="0"/>
          <w:iCs w:val="0"/>
          <w:snapToGrid w:val="0"/>
          <w:color w:val="auto"/>
          <w:kern w:val="0"/>
          <w:sz w:val="32"/>
          <w:szCs w:val="32"/>
          <w:highlight w:val="none"/>
          <w:u w:val="none"/>
          <w:lang w:val="en-US" w:eastAsia="zh-CN" w:bidi="ar"/>
        </w:rPr>
        <w:t>万元，</w:t>
      </w:r>
      <w:r>
        <w:rPr>
          <w:rFonts w:hint="default" w:ascii="Times New Roman" w:hAnsi="Times New Roman" w:eastAsia="仿宋_GB2312" w:cs="Times New Roman"/>
          <w:b w:val="0"/>
          <w:bCs w:val="0"/>
          <w:snapToGrid w:val="0"/>
          <w:color w:val="auto"/>
          <w:kern w:val="0"/>
          <w:sz w:val="32"/>
          <w:szCs w:val="32"/>
          <w:highlight w:val="none"/>
          <w:lang w:val="en-US" w:eastAsia="zh-CN" w:bidi="ar"/>
        </w:rPr>
        <w:t>其中，中央财政资金</w:t>
      </w:r>
      <w:r>
        <w:rPr>
          <w:rFonts w:hint="default" w:ascii="Times New Roman" w:hAnsi="Times New Roman" w:eastAsia="仿宋_GB2312" w:cs="Times New Roman"/>
          <w:snapToGrid w:val="0"/>
          <w:color w:val="auto"/>
          <w:kern w:val="0"/>
          <w:sz w:val="32"/>
          <w:szCs w:val="32"/>
          <w:highlight w:val="none"/>
          <w:lang w:val="en-US" w:eastAsia="zh-CN"/>
        </w:rPr>
        <w:t>21,730.00</w:t>
      </w:r>
      <w:r>
        <w:rPr>
          <w:rFonts w:hint="default" w:ascii="Times New Roman" w:hAnsi="Times New Roman" w:eastAsia="仿宋_GB2312" w:cs="Times New Roman"/>
          <w:i w:val="0"/>
          <w:iCs w:val="0"/>
          <w:snapToGrid w:val="0"/>
          <w:color w:val="auto"/>
          <w:kern w:val="0"/>
          <w:sz w:val="32"/>
          <w:szCs w:val="32"/>
          <w:highlight w:val="none"/>
          <w:u w:val="none"/>
          <w:lang w:val="en-US" w:eastAsia="zh-CN" w:bidi="ar"/>
        </w:rPr>
        <w:t>万元、</w:t>
      </w:r>
      <w:r>
        <w:rPr>
          <w:rFonts w:hint="default" w:ascii="Times New Roman" w:hAnsi="Times New Roman" w:eastAsia="仿宋_GB2312" w:cs="Times New Roman"/>
          <w:b w:val="0"/>
          <w:bCs w:val="0"/>
          <w:snapToGrid w:val="0"/>
          <w:color w:val="auto"/>
          <w:kern w:val="0"/>
          <w:sz w:val="32"/>
          <w:szCs w:val="32"/>
          <w:highlight w:val="none"/>
          <w:lang w:val="en-US" w:eastAsia="zh-CN" w:bidi="ar"/>
        </w:rPr>
        <w:t>省级财政安排</w:t>
      </w:r>
      <w:r>
        <w:rPr>
          <w:rFonts w:hint="default" w:ascii="Times New Roman" w:hAnsi="Times New Roman" w:eastAsia="仿宋_GB2312" w:cs="Times New Roman"/>
          <w:snapToGrid w:val="0"/>
          <w:color w:val="auto"/>
          <w:sz w:val="32"/>
          <w:szCs w:val="32"/>
          <w:highlight w:val="none"/>
          <w:lang w:val="en-US" w:eastAsia="zh-CN"/>
        </w:rPr>
        <w:t>10,000</w:t>
      </w:r>
      <w:r>
        <w:rPr>
          <w:rFonts w:hint="default" w:ascii="Times New Roman" w:hAnsi="Times New Roman" w:eastAsia="仿宋_GB2312" w:cs="Times New Roman"/>
          <w:snapToGrid w:val="0"/>
          <w:color w:val="auto"/>
          <w:sz w:val="32"/>
          <w:szCs w:val="32"/>
          <w:highlight w:val="none"/>
        </w:rPr>
        <w:t>.</w:t>
      </w:r>
      <w:r>
        <w:rPr>
          <w:rFonts w:hint="default" w:ascii="Times New Roman" w:hAnsi="Times New Roman" w:eastAsia="仿宋_GB2312" w:cs="Times New Roman"/>
          <w:snapToGrid w:val="0"/>
          <w:color w:val="auto"/>
          <w:sz w:val="32"/>
          <w:szCs w:val="32"/>
          <w:highlight w:val="none"/>
          <w:lang w:val="en-US" w:eastAsia="zh-CN"/>
        </w:rPr>
        <w:t>00</w:t>
      </w:r>
      <w:r>
        <w:rPr>
          <w:rFonts w:hint="default" w:ascii="Times New Roman" w:hAnsi="Times New Roman" w:eastAsia="仿宋_GB2312" w:cs="Times New Roman"/>
          <w:b w:val="0"/>
          <w:bCs w:val="0"/>
          <w:snapToGrid w:val="0"/>
          <w:color w:val="auto"/>
          <w:kern w:val="0"/>
          <w:sz w:val="32"/>
          <w:szCs w:val="32"/>
          <w:highlight w:val="none"/>
          <w:lang w:val="en-US" w:eastAsia="zh-CN" w:bidi="ar"/>
        </w:rPr>
        <w:t>万元</w:t>
      </w:r>
      <w:r>
        <w:rPr>
          <w:rFonts w:hint="default" w:ascii="Times New Roman" w:hAnsi="Times New Roman" w:eastAsia="仿宋_GB2312" w:cs="Times New Roman"/>
          <w:i w:val="0"/>
          <w:iCs w:val="0"/>
          <w:snapToGrid w:val="0"/>
          <w:color w:val="auto"/>
          <w:kern w:val="0"/>
          <w:sz w:val="32"/>
          <w:szCs w:val="32"/>
          <w:highlight w:val="none"/>
          <w:u w:val="none"/>
          <w:lang w:val="en-US" w:eastAsia="zh-CN" w:bidi="ar"/>
        </w:rPr>
        <w:t>万元。</w:t>
      </w:r>
      <w:r>
        <w:rPr>
          <w:rFonts w:hint="default" w:ascii="Times New Roman" w:hAnsi="Times New Roman" w:eastAsia="仿宋_GB2312" w:cs="Times New Roman"/>
          <w:b w:val="0"/>
          <w:bCs w:val="0"/>
          <w:snapToGrid w:val="0"/>
          <w:color w:val="auto"/>
          <w:kern w:val="0"/>
          <w:sz w:val="32"/>
          <w:szCs w:val="32"/>
          <w:highlight w:val="none"/>
          <w:lang w:val="en-US" w:eastAsia="zh-CN" w:bidi="ar"/>
        </w:rPr>
        <w:t>截止2022年12月31日，投入我省的</w:t>
      </w:r>
      <w:r>
        <w:rPr>
          <w:rFonts w:hint="default" w:ascii="Times New Roman" w:hAnsi="Times New Roman" w:eastAsia="仿宋_GB2312" w:cs="Times New Roman"/>
          <w:snapToGrid w:val="0"/>
          <w:color w:val="auto"/>
          <w:kern w:val="0"/>
          <w:sz w:val="32"/>
          <w:szCs w:val="32"/>
          <w:highlight w:val="none"/>
          <w:lang w:val="en-US" w:eastAsia="zh-CN"/>
        </w:rPr>
        <w:t>基</w:t>
      </w:r>
      <w:r>
        <w:rPr>
          <w:rFonts w:hint="default" w:ascii="Times New Roman" w:hAnsi="Times New Roman" w:eastAsia="仿宋_GB2312" w:cs="Times New Roman"/>
          <w:snapToGrid w:val="0"/>
          <w:color w:val="auto"/>
          <w:kern w:val="0"/>
          <w:sz w:val="32"/>
          <w:szCs w:val="32"/>
          <w:highlight w:val="none"/>
        </w:rPr>
        <w:t>本药物</w:t>
      </w:r>
      <w:r>
        <w:rPr>
          <w:rFonts w:hint="default" w:ascii="Times New Roman" w:hAnsi="Times New Roman" w:eastAsia="仿宋_GB2312" w:cs="Times New Roman"/>
          <w:snapToGrid w:val="0"/>
          <w:color w:val="auto"/>
          <w:kern w:val="0"/>
          <w:sz w:val="32"/>
          <w:szCs w:val="32"/>
          <w:highlight w:val="none"/>
          <w:lang w:eastAsia="zh-CN"/>
        </w:rPr>
        <w:t>制度</w:t>
      </w:r>
      <w:r>
        <w:rPr>
          <w:rFonts w:hint="default" w:ascii="Times New Roman" w:hAnsi="Times New Roman" w:eastAsia="仿宋_GB2312" w:cs="Times New Roman"/>
          <w:b w:val="0"/>
          <w:bCs w:val="0"/>
          <w:snapToGrid w:val="0"/>
          <w:color w:val="auto"/>
          <w:kern w:val="0"/>
          <w:sz w:val="32"/>
          <w:szCs w:val="32"/>
          <w:highlight w:val="none"/>
          <w:lang w:val="en-US" w:eastAsia="zh-CN" w:bidi="ar"/>
        </w:rPr>
        <w:t>补</w:t>
      </w:r>
      <w:r>
        <w:rPr>
          <w:rFonts w:hint="default" w:ascii="Times New Roman" w:hAnsi="Times New Roman" w:eastAsia="仿宋_GB2312" w:cs="Times New Roman"/>
          <w:b w:val="0"/>
          <w:bCs w:val="0"/>
          <w:snapToGrid w:val="0"/>
          <w:color w:val="auto"/>
          <w:sz w:val="32"/>
          <w:szCs w:val="32"/>
          <w:highlight w:val="none"/>
          <w:u w:val="none"/>
          <w:lang w:val="en-US" w:eastAsia="zh-CN"/>
        </w:rPr>
        <w:t>助</w:t>
      </w:r>
      <w:r>
        <w:rPr>
          <w:rFonts w:hint="default" w:ascii="Times New Roman" w:hAnsi="Times New Roman" w:eastAsia="仿宋_GB2312" w:cs="Times New Roman"/>
          <w:snapToGrid w:val="0"/>
          <w:color w:val="auto"/>
          <w:kern w:val="0"/>
          <w:sz w:val="32"/>
          <w:szCs w:val="32"/>
          <w:highlight w:val="none"/>
        </w:rPr>
        <w:t>资金</w:t>
      </w:r>
      <w:r>
        <w:rPr>
          <w:rFonts w:hint="default" w:ascii="Times New Roman" w:hAnsi="Times New Roman" w:eastAsia="仿宋_GB2312" w:cs="Times New Roman"/>
          <w:snapToGrid w:val="0"/>
          <w:color w:val="auto"/>
          <w:kern w:val="0"/>
          <w:sz w:val="32"/>
          <w:szCs w:val="32"/>
          <w:highlight w:val="none"/>
          <w:lang w:val="en-US" w:eastAsia="zh-CN"/>
        </w:rPr>
        <w:t>34,760.00</w:t>
      </w:r>
      <w:r>
        <w:rPr>
          <w:rFonts w:hint="default" w:ascii="Times New Roman" w:hAnsi="Times New Roman" w:eastAsia="仿宋_GB2312" w:cs="Times New Roman"/>
          <w:snapToGrid w:val="0"/>
          <w:color w:val="auto"/>
          <w:kern w:val="0"/>
          <w:sz w:val="32"/>
          <w:szCs w:val="32"/>
          <w:highlight w:val="none"/>
        </w:rPr>
        <w:t>万元</w:t>
      </w:r>
      <w:r>
        <w:rPr>
          <w:rFonts w:hint="default" w:ascii="Times New Roman" w:hAnsi="Times New Roman" w:eastAsia="仿宋_GB2312" w:cs="Times New Roman"/>
          <w:snapToGrid w:val="0"/>
          <w:color w:val="auto"/>
          <w:kern w:val="0"/>
          <w:sz w:val="32"/>
          <w:szCs w:val="32"/>
          <w:highlight w:val="none"/>
          <w:lang w:eastAsia="zh-CN"/>
        </w:rPr>
        <w:t>，</w:t>
      </w:r>
      <w:r>
        <w:rPr>
          <w:rFonts w:hint="default" w:ascii="Times New Roman" w:hAnsi="Times New Roman" w:eastAsia="仿宋_GB2312" w:cs="Times New Roman"/>
          <w:snapToGrid w:val="0"/>
          <w:color w:val="auto"/>
          <w:kern w:val="0"/>
          <w:sz w:val="32"/>
          <w:szCs w:val="32"/>
          <w:highlight w:val="none"/>
          <w:lang w:val="en-US" w:eastAsia="zh-CN" w:bidi="ar"/>
        </w:rPr>
        <w:t>已经足额下达各地</w:t>
      </w:r>
      <w:r>
        <w:rPr>
          <w:rFonts w:hint="default" w:ascii="Times New Roman" w:hAnsi="Times New Roman" w:eastAsia="仿宋_GB2312" w:cs="Times New Roman"/>
          <w:snapToGrid w:val="0"/>
          <w:color w:val="auto"/>
          <w:kern w:val="0"/>
          <w:sz w:val="32"/>
          <w:szCs w:val="32"/>
          <w:highlight w:val="none"/>
          <w:lang w:eastAsia="zh-CN"/>
        </w:rPr>
        <w:t>，</w:t>
      </w:r>
      <w:r>
        <w:rPr>
          <w:rFonts w:hint="default" w:ascii="Times New Roman" w:hAnsi="Times New Roman" w:eastAsia="仿宋_GB2312" w:cs="Times New Roman"/>
          <w:snapToGrid w:val="0"/>
          <w:color w:val="auto"/>
          <w:kern w:val="0"/>
          <w:sz w:val="32"/>
          <w:szCs w:val="32"/>
          <w:highlight w:val="none"/>
          <w:lang w:val="en-US" w:eastAsia="zh-CN" w:bidi="ar"/>
        </w:rPr>
        <w:t>资金拨付率100%</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eastAsia="zh-CN"/>
        </w:rPr>
        <w:t>，其中中央财政资金到位率</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val="en-US" w:eastAsia="zh-CN"/>
        </w:rPr>
        <w:t>96.68%</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eastAsia="zh-CN"/>
        </w:rPr>
        <w:t>。</w:t>
      </w:r>
    </w:p>
    <w:p>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646" w:firstLineChars="201"/>
        <w:jc w:val="both"/>
        <w:textAlignment w:val="auto"/>
        <w:rPr>
          <w:rFonts w:hint="default" w:ascii="Times New Roman" w:hAnsi="Times New Roman" w:eastAsia="仿宋_GB2312" w:cs="Times New Roman"/>
          <w:b/>
          <w:bCs/>
          <w:i w:val="0"/>
          <w:caps w:val="0"/>
          <w:snapToGrid w:val="0"/>
          <w:color w:val="auto"/>
          <w:spacing w:val="0"/>
          <w:sz w:val="32"/>
          <w:szCs w:val="32"/>
          <w:highlight w:val="none"/>
          <w:lang w:val="en-US" w:eastAsia="zh-CN"/>
        </w:rPr>
      </w:pPr>
      <w:r>
        <w:rPr>
          <w:rFonts w:hint="default" w:ascii="Times New Roman" w:hAnsi="Times New Roman" w:eastAsia="仿宋_GB2312" w:cs="Times New Roman"/>
          <w:b/>
          <w:bCs/>
          <w:i w:val="0"/>
          <w:caps w:val="0"/>
          <w:snapToGrid w:val="0"/>
          <w:color w:val="auto"/>
          <w:spacing w:val="0"/>
          <w:sz w:val="32"/>
          <w:szCs w:val="32"/>
          <w:highlight w:val="none"/>
          <w:lang w:val="en-US" w:eastAsia="zh-CN"/>
        </w:rPr>
        <w:t>2</w:t>
      </w:r>
      <w:r>
        <w:rPr>
          <w:rFonts w:hint="default" w:ascii="仿宋_GB2312" w:hAnsi="仿宋_GB2312" w:eastAsia="仿宋_GB2312" w:cs="仿宋_GB2312"/>
          <w:b/>
          <w:bCs/>
          <w:snapToGrid w:val="0"/>
          <w:color w:val="auto"/>
          <w:kern w:val="0"/>
          <w:sz w:val="32"/>
          <w:szCs w:val="32"/>
          <w:highlight w:val="none"/>
          <w:lang w:val="en-US" w:eastAsia="zh-CN"/>
        </w:rPr>
        <w:t>.资</w:t>
      </w:r>
      <w:r>
        <w:rPr>
          <w:rFonts w:hint="default" w:ascii="Times New Roman" w:hAnsi="Times New Roman" w:eastAsia="仿宋_GB2312" w:cs="Times New Roman"/>
          <w:b/>
          <w:bCs/>
          <w:i w:val="0"/>
          <w:caps w:val="0"/>
          <w:snapToGrid w:val="0"/>
          <w:color w:val="auto"/>
          <w:spacing w:val="0"/>
          <w:sz w:val="32"/>
          <w:szCs w:val="32"/>
          <w:highlight w:val="none"/>
          <w:lang w:val="en-US" w:eastAsia="zh-CN"/>
        </w:rPr>
        <w:t>金执行情况</w:t>
      </w: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right="0" w:rightChars="0" w:firstLine="640" w:firstLineChars="200"/>
        <w:jc w:val="both"/>
        <w:textAlignment w:val="auto"/>
        <w:rPr>
          <w:rFonts w:hint="default" w:ascii="Times New Roman" w:hAnsi="Times New Roman" w:cs="Times New Roman"/>
          <w:snapToGrid w:val="0"/>
          <w:color w:val="auto"/>
          <w:highlight w:val="none"/>
          <w:lang w:val="en-US" w:eastAsia="zh-CN"/>
        </w:rPr>
      </w:pPr>
      <w:r>
        <w:rPr>
          <w:rFonts w:hint="default" w:ascii="Times New Roman" w:hAnsi="Times New Roman" w:cs="Times New Roman"/>
          <w:b w:val="0"/>
          <w:bCs w:val="0"/>
          <w:snapToGrid w:val="0"/>
          <w:color w:val="auto"/>
          <w:kern w:val="0"/>
          <w:sz w:val="32"/>
          <w:szCs w:val="32"/>
          <w:highlight w:val="none"/>
          <w:lang w:val="en-US" w:eastAsia="zh-CN" w:bidi="ar"/>
        </w:rPr>
        <w:t>截止</w:t>
      </w:r>
      <w:r>
        <w:rPr>
          <w:rFonts w:hint="default" w:ascii="Times New Roman" w:hAnsi="Times New Roman" w:eastAsia="仿宋_GB2312" w:cs="Times New Roman"/>
          <w:b w:val="0"/>
          <w:bCs w:val="0"/>
          <w:snapToGrid w:val="0"/>
          <w:color w:val="auto"/>
          <w:kern w:val="0"/>
          <w:sz w:val="32"/>
          <w:szCs w:val="32"/>
          <w:highlight w:val="none"/>
          <w:lang w:val="en-US" w:eastAsia="zh-CN" w:bidi="ar"/>
        </w:rPr>
        <w:t>2022年12月</w:t>
      </w:r>
      <w:r>
        <w:rPr>
          <w:rFonts w:hint="default" w:ascii="Times New Roman" w:hAnsi="Times New Roman" w:cs="Times New Roman"/>
          <w:b w:val="0"/>
          <w:bCs w:val="0"/>
          <w:snapToGrid w:val="0"/>
          <w:color w:val="auto"/>
          <w:kern w:val="0"/>
          <w:sz w:val="32"/>
          <w:szCs w:val="32"/>
          <w:highlight w:val="none"/>
          <w:lang w:val="en-US" w:eastAsia="zh-CN" w:bidi="ar"/>
        </w:rPr>
        <w:t>31</w:t>
      </w:r>
      <w:r>
        <w:rPr>
          <w:rFonts w:hint="default" w:ascii="Times New Roman" w:hAnsi="Times New Roman" w:eastAsia="仿宋_GB2312" w:cs="Times New Roman"/>
          <w:b w:val="0"/>
          <w:bCs w:val="0"/>
          <w:snapToGrid w:val="0"/>
          <w:color w:val="auto"/>
          <w:kern w:val="0"/>
          <w:sz w:val="32"/>
          <w:szCs w:val="32"/>
          <w:highlight w:val="none"/>
          <w:lang w:val="en-US" w:eastAsia="zh-CN" w:bidi="ar"/>
        </w:rPr>
        <w:t>日</w:t>
      </w:r>
      <w:r>
        <w:rPr>
          <w:rFonts w:hint="default" w:ascii="Times New Roman" w:hAnsi="Times New Roman" w:cs="Times New Roman"/>
          <w:b w:val="0"/>
          <w:bCs w:val="0"/>
          <w:snapToGrid w:val="0"/>
          <w:color w:val="auto"/>
          <w:kern w:val="0"/>
          <w:sz w:val="32"/>
          <w:szCs w:val="32"/>
          <w:highlight w:val="none"/>
          <w:lang w:val="en-US" w:eastAsia="zh-CN" w:bidi="ar"/>
        </w:rPr>
        <w:t>，</w:t>
      </w:r>
      <w:r>
        <w:rPr>
          <w:rFonts w:hint="default" w:ascii="Times New Roman" w:hAnsi="Times New Roman" w:eastAsia="仿宋_GB2312" w:cs="Times New Roman"/>
          <w:b w:val="0"/>
          <w:bCs w:val="0"/>
          <w:snapToGrid w:val="0"/>
          <w:color w:val="auto"/>
          <w:sz w:val="32"/>
          <w:szCs w:val="32"/>
          <w:highlight w:val="none"/>
          <w:lang w:val="en-US" w:eastAsia="zh-CN"/>
        </w:rPr>
        <w:t>2022年中央财政补助</w:t>
      </w:r>
      <w:r>
        <w:rPr>
          <w:rFonts w:hint="default" w:ascii="Times New Roman" w:hAnsi="Times New Roman" w:eastAsia="仿宋_GB2312" w:cs="Times New Roman"/>
          <w:snapToGrid w:val="0"/>
          <w:color w:val="auto"/>
          <w:kern w:val="0"/>
          <w:sz w:val="32"/>
          <w:szCs w:val="32"/>
          <w:highlight w:val="none"/>
          <w:lang w:val="en-US" w:eastAsia="zh-CN"/>
        </w:rPr>
        <w:t>基本药物制度</w:t>
      </w:r>
      <w:r>
        <w:rPr>
          <w:rFonts w:hint="default" w:ascii="Times New Roman" w:hAnsi="Times New Roman" w:cs="Times New Roman"/>
          <w:b w:val="0"/>
          <w:bCs w:val="0"/>
          <w:snapToGrid w:val="0"/>
          <w:color w:val="auto"/>
          <w:kern w:val="0"/>
          <w:sz w:val="32"/>
          <w:szCs w:val="32"/>
          <w:highlight w:val="none"/>
          <w:lang w:val="en-US" w:eastAsia="zh-CN" w:bidi="ar"/>
        </w:rPr>
        <w:t>转移支付</w:t>
      </w:r>
      <w:r>
        <w:rPr>
          <w:rFonts w:hint="default" w:ascii="Times New Roman" w:hAnsi="Times New Roman" w:eastAsia="仿宋_GB2312" w:cs="Times New Roman"/>
          <w:b w:val="0"/>
          <w:bCs w:val="0"/>
          <w:snapToGrid w:val="0"/>
          <w:color w:val="auto"/>
          <w:kern w:val="0"/>
          <w:sz w:val="32"/>
          <w:szCs w:val="32"/>
          <w:highlight w:val="none"/>
          <w:lang w:val="en-US" w:eastAsia="zh-CN" w:bidi="ar"/>
        </w:rPr>
        <w:t>实际支出</w:t>
      </w:r>
      <w:r>
        <w:rPr>
          <w:rFonts w:hint="default" w:ascii="Times New Roman" w:hAnsi="Times New Roman" w:eastAsia="仿宋_GB2312" w:cs="Times New Roman"/>
          <w:snapToGrid w:val="0"/>
          <w:color w:val="auto"/>
          <w:kern w:val="0"/>
          <w:sz w:val="32"/>
          <w:szCs w:val="32"/>
          <w:highlight w:val="none"/>
          <w:lang w:val="en-US" w:eastAsia="zh-CN"/>
        </w:rPr>
        <w:t>20,753,19万元，预算执行率83.82%</w:t>
      </w:r>
      <w:r>
        <w:rPr>
          <w:rFonts w:hint="default" w:ascii="Times New Roman" w:hAnsi="Times New Roman" w:cs="Times New Roman"/>
          <w:snapToGrid w:val="0"/>
          <w:color w:val="auto"/>
          <w:kern w:val="0"/>
          <w:sz w:val="32"/>
          <w:szCs w:val="32"/>
          <w:highlight w:val="none"/>
          <w:lang w:val="en-US" w:eastAsia="zh-CN"/>
        </w:rPr>
        <w:t>（见表3）</w:t>
      </w:r>
      <w:r>
        <w:rPr>
          <w:rFonts w:hint="default" w:ascii="Times New Roman" w:hAnsi="Times New Roman" w:eastAsia="仿宋_GB2312" w:cs="Times New Roman"/>
          <w:snapToGrid w:val="0"/>
          <w:color w:val="auto"/>
          <w:kern w:val="0"/>
          <w:sz w:val="32"/>
          <w:szCs w:val="32"/>
          <w:highlight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i w:val="0"/>
          <w:caps w:val="0"/>
          <w:snapToGrid w:val="0"/>
          <w:color w:val="auto"/>
          <w:spacing w:val="0"/>
          <w:sz w:val="28"/>
          <w:szCs w:val="28"/>
          <w:highlight w:val="none"/>
          <w:lang w:val="en-US" w:eastAsia="zh-CN"/>
        </w:rPr>
      </w:pPr>
      <w:r>
        <w:rPr>
          <w:rFonts w:hint="default" w:ascii="Times New Roman" w:hAnsi="Times New Roman" w:eastAsia="宋体" w:cs="Times New Roman"/>
          <w:b/>
          <w:bCs/>
          <w:i w:val="0"/>
          <w:caps w:val="0"/>
          <w:snapToGrid w:val="0"/>
          <w:color w:val="auto"/>
          <w:spacing w:val="0"/>
          <w:sz w:val="28"/>
          <w:szCs w:val="28"/>
          <w:highlight w:val="none"/>
          <w:lang w:val="en-US" w:eastAsia="zh-CN"/>
        </w:rPr>
        <w:t xml:space="preserve">表3 </w:t>
      </w:r>
      <w:r>
        <w:rPr>
          <w:rFonts w:hint="eastAsia" w:ascii="Times New Roman" w:hAnsi="Times New Roman" w:eastAsia="宋体" w:cs="Times New Roman"/>
          <w:b/>
          <w:bCs/>
          <w:i w:val="0"/>
          <w:caps w:val="0"/>
          <w:snapToGrid w:val="0"/>
          <w:color w:val="auto"/>
          <w:spacing w:val="0"/>
          <w:sz w:val="28"/>
          <w:szCs w:val="28"/>
          <w:highlight w:val="none"/>
          <w:lang w:val="en-US" w:eastAsia="zh-CN"/>
        </w:rPr>
        <w:t xml:space="preserve"> </w:t>
      </w:r>
      <w:r>
        <w:rPr>
          <w:rFonts w:hint="default" w:ascii="Times New Roman" w:hAnsi="Times New Roman" w:eastAsia="宋体" w:cs="Times New Roman"/>
          <w:b/>
          <w:bCs/>
          <w:i w:val="0"/>
          <w:caps w:val="0"/>
          <w:snapToGrid w:val="0"/>
          <w:color w:val="auto"/>
          <w:spacing w:val="0"/>
          <w:sz w:val="28"/>
          <w:szCs w:val="28"/>
          <w:highlight w:val="none"/>
          <w:lang w:val="en-US" w:eastAsia="zh-CN"/>
        </w:rPr>
        <w:t>中央资金执行情况</w:t>
      </w:r>
    </w:p>
    <w:p>
      <w:pPr>
        <w:pStyle w:val="2"/>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eastAsia="宋体" w:cs="Times New Roman"/>
          <w:b w:val="0"/>
          <w:bCs w:val="0"/>
          <w:i w:val="0"/>
          <w:caps w:val="0"/>
          <w:color w:val="auto"/>
          <w:spacing w:val="0"/>
          <w:sz w:val="24"/>
          <w:szCs w:val="24"/>
          <w:highlight w:val="none"/>
          <w:lang w:val="en-US" w:eastAsia="zh-CN"/>
        </w:rPr>
        <w:t>金额单位：万元</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0"/>
        <w:gridCol w:w="1504"/>
        <w:gridCol w:w="1760"/>
        <w:gridCol w:w="1546"/>
        <w:gridCol w:w="1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blHeader/>
          <w:jc w:val="center"/>
        </w:trPr>
        <w:tc>
          <w:tcPr>
            <w:tcW w:w="2280" w:type="dxa"/>
            <w:shd w:val="clear" w:color="auto" w:fill="D9E1F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auto"/>
                <w:sz w:val="24"/>
                <w:szCs w:val="24"/>
                <w:highlight w:val="none"/>
                <w:u w:val="none"/>
              </w:rPr>
            </w:pPr>
            <w:r>
              <w:rPr>
                <w:rFonts w:hint="eastAsia" w:ascii="黑体" w:hAnsi="黑体" w:eastAsia="黑体" w:cs="黑体"/>
                <w:b w:val="0"/>
                <w:bCs w:val="0"/>
                <w:i w:val="0"/>
                <w:iCs w:val="0"/>
                <w:color w:val="auto"/>
                <w:kern w:val="0"/>
                <w:sz w:val="24"/>
                <w:szCs w:val="24"/>
                <w:highlight w:val="none"/>
                <w:u w:val="none"/>
                <w:lang w:val="en-US" w:eastAsia="zh-CN" w:bidi="ar"/>
              </w:rPr>
              <w:t>资金名称</w:t>
            </w:r>
          </w:p>
        </w:tc>
        <w:tc>
          <w:tcPr>
            <w:tcW w:w="1504" w:type="dxa"/>
            <w:shd w:val="clear" w:color="auto" w:fill="D9E1F2"/>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auto"/>
                <w:sz w:val="24"/>
                <w:szCs w:val="24"/>
                <w:highlight w:val="none"/>
                <w:u w:val="none"/>
              </w:rPr>
            </w:pPr>
            <w:r>
              <w:rPr>
                <w:rFonts w:hint="eastAsia" w:ascii="黑体" w:hAnsi="黑体" w:eastAsia="黑体" w:cs="黑体"/>
                <w:b w:val="0"/>
                <w:bCs w:val="0"/>
                <w:i w:val="0"/>
                <w:iCs w:val="0"/>
                <w:color w:val="auto"/>
                <w:kern w:val="0"/>
                <w:sz w:val="24"/>
                <w:szCs w:val="24"/>
                <w:highlight w:val="none"/>
                <w:u w:val="none"/>
                <w:lang w:val="en-US" w:eastAsia="zh-CN" w:bidi="ar"/>
              </w:rPr>
              <w:t>下达总金额</w:t>
            </w:r>
          </w:p>
        </w:tc>
        <w:tc>
          <w:tcPr>
            <w:tcW w:w="1760" w:type="dxa"/>
            <w:shd w:val="clear" w:color="auto" w:fill="D9E1F2"/>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auto"/>
                <w:sz w:val="24"/>
                <w:szCs w:val="24"/>
                <w:highlight w:val="none"/>
                <w:u w:val="none"/>
              </w:rPr>
            </w:pPr>
            <w:r>
              <w:rPr>
                <w:rFonts w:hint="eastAsia" w:ascii="黑体" w:hAnsi="黑体" w:eastAsia="黑体" w:cs="黑体"/>
                <w:b w:val="0"/>
                <w:bCs w:val="0"/>
                <w:i w:val="0"/>
                <w:iCs w:val="0"/>
                <w:color w:val="auto"/>
                <w:kern w:val="0"/>
                <w:sz w:val="24"/>
                <w:szCs w:val="24"/>
                <w:highlight w:val="none"/>
                <w:u w:val="none"/>
                <w:lang w:val="en-US" w:eastAsia="zh-CN" w:bidi="ar"/>
              </w:rPr>
              <w:t>实际支出金额</w:t>
            </w:r>
          </w:p>
        </w:tc>
        <w:tc>
          <w:tcPr>
            <w:tcW w:w="1546" w:type="dxa"/>
            <w:shd w:val="clear" w:color="auto" w:fill="D9E1F2"/>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auto"/>
                <w:sz w:val="24"/>
                <w:szCs w:val="24"/>
                <w:highlight w:val="none"/>
                <w:u w:val="none"/>
              </w:rPr>
            </w:pPr>
            <w:r>
              <w:rPr>
                <w:rFonts w:hint="eastAsia" w:ascii="黑体" w:hAnsi="黑体" w:eastAsia="黑体" w:cs="黑体"/>
                <w:b w:val="0"/>
                <w:bCs w:val="0"/>
                <w:i w:val="0"/>
                <w:iCs w:val="0"/>
                <w:color w:val="auto"/>
                <w:kern w:val="0"/>
                <w:sz w:val="24"/>
                <w:szCs w:val="24"/>
                <w:highlight w:val="none"/>
                <w:u w:val="none"/>
                <w:lang w:val="en-US" w:eastAsia="zh-CN" w:bidi="ar"/>
              </w:rPr>
              <w:t>未支出金额</w:t>
            </w:r>
          </w:p>
        </w:tc>
        <w:tc>
          <w:tcPr>
            <w:tcW w:w="1970" w:type="dxa"/>
            <w:shd w:val="clear" w:color="auto" w:fill="D9E1F2"/>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auto"/>
                <w:sz w:val="24"/>
                <w:szCs w:val="24"/>
                <w:highlight w:val="none"/>
                <w:u w:val="none"/>
              </w:rPr>
            </w:pPr>
            <w:r>
              <w:rPr>
                <w:rFonts w:hint="eastAsia" w:ascii="黑体" w:hAnsi="黑体" w:eastAsia="黑体" w:cs="黑体"/>
                <w:b w:val="0"/>
                <w:bCs w:val="0"/>
                <w:i w:val="0"/>
                <w:iCs w:val="0"/>
                <w:color w:val="auto"/>
                <w:kern w:val="0"/>
                <w:sz w:val="24"/>
                <w:szCs w:val="24"/>
                <w:highlight w:val="none"/>
                <w:u w:val="none"/>
                <w:lang w:val="en-US" w:eastAsia="zh-CN" w:bidi="ar"/>
              </w:rPr>
              <w:t>支出进度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22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提前下达2022年中央财政基本药物制度补助资金</w:t>
            </w:r>
          </w:p>
        </w:tc>
        <w:tc>
          <w:tcPr>
            <w:tcW w:w="1504"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21,730.00</w:t>
            </w:r>
          </w:p>
        </w:tc>
        <w:tc>
          <w:tcPr>
            <w:tcW w:w="176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18,353.28</w:t>
            </w:r>
          </w:p>
        </w:tc>
        <w:tc>
          <w:tcPr>
            <w:tcW w:w="1546"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3,376.72</w:t>
            </w:r>
          </w:p>
        </w:tc>
        <w:tc>
          <w:tcPr>
            <w:tcW w:w="197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84.46%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280" w:type="dxa"/>
            <w:shd w:val="clear" w:color="auto" w:fill="D9E1F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2022年中央财政基本药物制度补助</w:t>
            </w:r>
          </w:p>
        </w:tc>
        <w:tc>
          <w:tcPr>
            <w:tcW w:w="1504" w:type="dxa"/>
            <w:shd w:val="clear" w:color="auto" w:fill="D9E1F2"/>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3,030.00</w:t>
            </w:r>
          </w:p>
        </w:tc>
        <w:tc>
          <w:tcPr>
            <w:tcW w:w="1760" w:type="dxa"/>
            <w:shd w:val="clear" w:color="auto" w:fill="D9E1F2"/>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2,399.91</w:t>
            </w:r>
          </w:p>
        </w:tc>
        <w:tc>
          <w:tcPr>
            <w:tcW w:w="1546" w:type="dxa"/>
            <w:shd w:val="clear" w:color="auto" w:fill="D9E1F2"/>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688.09</w:t>
            </w:r>
          </w:p>
        </w:tc>
        <w:tc>
          <w:tcPr>
            <w:tcW w:w="1970" w:type="dxa"/>
            <w:shd w:val="clear" w:color="auto" w:fill="D9E1F2"/>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77.72%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280" w:type="dxa"/>
            <w:shd w:val="clear" w:color="auto" w:fill="E6E0EC"/>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合  计</w:t>
            </w:r>
          </w:p>
        </w:tc>
        <w:tc>
          <w:tcPr>
            <w:tcW w:w="1504" w:type="dxa"/>
            <w:shd w:val="clear" w:color="auto" w:fill="E6E0EC"/>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24,760.00</w:t>
            </w:r>
          </w:p>
        </w:tc>
        <w:tc>
          <w:tcPr>
            <w:tcW w:w="1760" w:type="dxa"/>
            <w:shd w:val="clear" w:color="auto" w:fill="E6E0EC"/>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20,753.19</w:t>
            </w:r>
          </w:p>
        </w:tc>
        <w:tc>
          <w:tcPr>
            <w:tcW w:w="1546" w:type="dxa"/>
            <w:shd w:val="clear" w:color="auto" w:fill="E6E0EC"/>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4,064.81</w:t>
            </w:r>
          </w:p>
        </w:tc>
        <w:tc>
          <w:tcPr>
            <w:tcW w:w="1970" w:type="dxa"/>
            <w:shd w:val="clear" w:color="auto" w:fill="E6E0EC"/>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83.82%</w:t>
            </w:r>
          </w:p>
        </w:tc>
      </w:tr>
    </w:tbl>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3" w:firstLineChars="201"/>
        <w:jc w:val="both"/>
        <w:textAlignment w:val="auto"/>
        <w:rPr>
          <w:rFonts w:hint="eastAsia" w:ascii="楷体_GB2312" w:hAnsi="楷体_GB2312" w:eastAsia="楷体_GB2312" w:cs="楷体_GB2312"/>
          <w:b w:val="0"/>
          <w:bCs w:val="0"/>
          <w:snapToGrid w:val="0"/>
          <w:color w:val="auto"/>
          <w:sz w:val="32"/>
          <w:szCs w:val="32"/>
          <w:highlight w:val="none"/>
          <w:lang w:eastAsia="zh-CN"/>
        </w:rPr>
      </w:pPr>
      <w:r>
        <w:rPr>
          <w:rFonts w:hint="eastAsia" w:ascii="楷体_GB2312" w:hAnsi="楷体_GB2312" w:eastAsia="楷体_GB2312" w:cs="楷体_GB2312"/>
          <w:b w:val="0"/>
          <w:bCs w:val="0"/>
          <w:i w:val="0"/>
          <w:caps w:val="0"/>
          <w:snapToGrid w:val="0"/>
          <w:color w:val="auto"/>
          <w:spacing w:val="0"/>
          <w:sz w:val="32"/>
          <w:szCs w:val="32"/>
          <w:highlight w:val="none"/>
          <w:lang w:val="en-US" w:eastAsia="zh-CN"/>
        </w:rPr>
        <w:t>（二）</w:t>
      </w:r>
      <w:r>
        <w:rPr>
          <w:rFonts w:hint="eastAsia" w:ascii="楷体_GB2312" w:hAnsi="楷体_GB2312" w:eastAsia="楷体_GB2312" w:cs="楷体_GB2312"/>
          <w:b w:val="0"/>
          <w:bCs w:val="0"/>
          <w:snapToGrid w:val="0"/>
          <w:color w:val="auto"/>
          <w:kern w:val="0"/>
          <w:sz w:val="32"/>
          <w:szCs w:val="32"/>
          <w:highlight w:val="none"/>
          <w:lang w:val="en-US" w:eastAsia="zh-CN"/>
        </w:rPr>
        <w:t>资金管理情况。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snapToGrid w:val="0"/>
          <w:color w:val="auto"/>
          <w:sz w:val="32"/>
          <w:szCs w:val="32"/>
          <w:highlight w:val="none"/>
          <w:lang w:val="en-US" w:eastAsia="zh-CN"/>
        </w:rPr>
      </w:pPr>
      <w:r>
        <w:rPr>
          <w:rFonts w:hint="default" w:ascii="Times New Roman" w:hAnsi="Times New Roman" w:eastAsia="仿宋_GB2312" w:cs="Times New Roman"/>
          <w:b/>
          <w:bCs/>
          <w:snapToGrid w:val="0"/>
          <w:color w:val="auto"/>
          <w:kern w:val="0"/>
          <w:sz w:val="32"/>
          <w:szCs w:val="32"/>
          <w:highlight w:val="none"/>
          <w:lang w:val="en-US" w:eastAsia="zh-CN" w:bidi="ar"/>
        </w:rPr>
        <w:t>1</w:t>
      </w:r>
      <w:r>
        <w:rPr>
          <w:rFonts w:hint="eastAsia" w:ascii="仿宋_GB2312" w:hAnsi="仿宋_GB2312" w:eastAsia="仿宋_GB2312" w:cs="仿宋_GB2312"/>
          <w:b/>
          <w:bCs/>
          <w:snapToGrid w:val="0"/>
          <w:color w:val="auto"/>
          <w:kern w:val="0"/>
          <w:sz w:val="32"/>
          <w:szCs w:val="32"/>
          <w:highlight w:val="none"/>
          <w:lang w:val="en-US" w:eastAsia="zh-CN" w:bidi="ar"/>
        </w:rPr>
        <w:t>.</w:t>
      </w:r>
      <w:r>
        <w:rPr>
          <w:rFonts w:hint="default" w:ascii="Times New Roman" w:hAnsi="Times New Roman" w:eastAsia="仿宋_GB2312" w:cs="Times New Roman"/>
          <w:b/>
          <w:bCs/>
          <w:snapToGrid w:val="0"/>
          <w:color w:val="auto"/>
          <w:kern w:val="0"/>
          <w:sz w:val="32"/>
          <w:szCs w:val="32"/>
          <w:highlight w:val="none"/>
          <w:lang w:val="en-US" w:eastAsia="zh-CN" w:bidi="ar"/>
        </w:rPr>
        <w:t>分配科学性。</w:t>
      </w:r>
      <w:r>
        <w:rPr>
          <w:rFonts w:hint="default" w:ascii="Times New Roman" w:hAnsi="Times New Roman" w:eastAsia="仿宋_GB2312" w:cs="Times New Roman"/>
          <w:b/>
          <w:bCs/>
          <w:snapToGrid w:val="0"/>
          <w:color w:val="auto"/>
          <w:kern w:val="0"/>
          <w:sz w:val="32"/>
          <w:szCs w:val="32"/>
          <w:highlight w:val="none"/>
          <w:lang w:val="en-US" w:eastAsia="zh-CN"/>
        </w:rPr>
        <w:t>一是</w:t>
      </w:r>
      <w:r>
        <w:rPr>
          <w:rFonts w:hint="default" w:ascii="Times New Roman" w:hAnsi="Times New Roman" w:eastAsia="仿宋_GB2312" w:cs="Times New Roman"/>
          <w:b w:val="0"/>
          <w:bCs w:val="0"/>
          <w:snapToGrid w:val="0"/>
          <w:color w:val="auto"/>
          <w:kern w:val="0"/>
          <w:sz w:val="32"/>
          <w:szCs w:val="32"/>
          <w:highlight w:val="none"/>
          <w:lang w:val="en-US" w:eastAsia="zh-CN"/>
        </w:rPr>
        <w:t>采用因素法分配中央转移支付资金</w:t>
      </w:r>
      <w:r>
        <w:rPr>
          <w:rFonts w:hint="default" w:ascii="Times New Roman" w:hAnsi="Times New Roman" w:eastAsia="仿宋_GB2312" w:cs="Times New Roman"/>
          <w:b w:val="0"/>
          <w:bCs w:val="0"/>
          <w:snapToGrid w:val="0"/>
          <w:color w:val="auto"/>
          <w:kern w:val="0"/>
          <w:sz w:val="32"/>
          <w:szCs w:val="32"/>
          <w:highlight w:val="none"/>
          <w:lang w:eastAsia="zh-CN"/>
        </w:rPr>
        <w:t>，</w:t>
      </w:r>
      <w:r>
        <w:rPr>
          <w:rFonts w:hint="default" w:ascii="Times New Roman" w:hAnsi="Times New Roman" w:eastAsia="仿宋_GB2312" w:cs="Times New Roman"/>
          <w:b w:val="0"/>
          <w:bCs w:val="0"/>
          <w:snapToGrid w:val="0"/>
          <w:color w:val="auto"/>
          <w:kern w:val="0"/>
          <w:sz w:val="32"/>
          <w:szCs w:val="32"/>
          <w:highlight w:val="none"/>
          <w:lang w:val="en-US" w:eastAsia="zh-CN"/>
        </w:rPr>
        <w:t>分配时主要考虑</w:t>
      </w:r>
      <w:r>
        <w:rPr>
          <w:rFonts w:hint="default" w:ascii="Times New Roman" w:hAnsi="Times New Roman" w:eastAsia="仿宋_GB2312" w:cs="Times New Roman"/>
          <w:snapToGrid w:val="0"/>
          <w:color w:val="auto"/>
          <w:kern w:val="0"/>
          <w:sz w:val="32"/>
          <w:szCs w:val="32"/>
          <w:highlight w:val="none"/>
          <w:lang w:val="en-US" w:eastAsia="zh-CN"/>
        </w:rPr>
        <w:t>2020年的</w:t>
      </w:r>
      <w:r>
        <w:rPr>
          <w:rFonts w:hint="default" w:ascii="Times New Roman" w:hAnsi="Times New Roman" w:eastAsia="仿宋_GB2312" w:cs="Times New Roman"/>
          <w:snapToGrid w:val="0"/>
          <w:color w:val="auto"/>
          <w:kern w:val="0"/>
          <w:sz w:val="32"/>
          <w:szCs w:val="32"/>
          <w:highlight w:val="none"/>
        </w:rPr>
        <w:t>人口系数</w:t>
      </w:r>
      <w:r>
        <w:rPr>
          <w:rFonts w:hint="default" w:ascii="Times New Roman" w:hAnsi="Times New Roman" w:eastAsia="仿宋_GB2312" w:cs="Times New Roman"/>
          <w:snapToGrid w:val="0"/>
          <w:color w:val="auto"/>
          <w:kern w:val="0"/>
          <w:sz w:val="32"/>
          <w:szCs w:val="32"/>
          <w:highlight w:val="none"/>
          <w:lang w:eastAsia="zh-CN"/>
        </w:rPr>
        <w:t>（人口七普数据）</w:t>
      </w:r>
      <w:r>
        <w:rPr>
          <w:rFonts w:hint="default" w:ascii="Times New Roman" w:hAnsi="Times New Roman" w:eastAsia="仿宋_GB2312" w:cs="Times New Roman"/>
          <w:snapToGrid w:val="0"/>
          <w:color w:val="auto"/>
          <w:kern w:val="0"/>
          <w:sz w:val="32"/>
          <w:szCs w:val="32"/>
          <w:highlight w:val="none"/>
        </w:rPr>
        <w:t>、</w:t>
      </w:r>
      <w:r>
        <w:rPr>
          <w:rFonts w:hint="default" w:ascii="Times New Roman" w:hAnsi="Times New Roman" w:eastAsia="仿宋_GB2312" w:cs="Times New Roman"/>
          <w:snapToGrid w:val="0"/>
          <w:color w:val="auto"/>
          <w:kern w:val="0"/>
          <w:sz w:val="32"/>
          <w:szCs w:val="32"/>
          <w:highlight w:val="none"/>
          <w:lang w:eastAsia="zh-CN"/>
        </w:rPr>
        <w:t>基层医疗</w:t>
      </w:r>
      <w:r>
        <w:rPr>
          <w:rFonts w:hint="default" w:ascii="Times New Roman" w:hAnsi="Times New Roman" w:eastAsia="仿宋_GB2312" w:cs="Times New Roman"/>
          <w:snapToGrid w:val="0"/>
          <w:color w:val="auto"/>
          <w:kern w:val="0"/>
          <w:sz w:val="32"/>
          <w:szCs w:val="32"/>
          <w:highlight w:val="none"/>
        </w:rPr>
        <w:t>卫生</w:t>
      </w:r>
      <w:r>
        <w:rPr>
          <w:rFonts w:hint="default" w:ascii="Times New Roman" w:hAnsi="Times New Roman" w:eastAsia="仿宋_GB2312" w:cs="Times New Roman"/>
          <w:snapToGrid w:val="0"/>
          <w:color w:val="auto"/>
          <w:kern w:val="0"/>
          <w:sz w:val="32"/>
          <w:szCs w:val="32"/>
          <w:highlight w:val="none"/>
          <w:lang w:eastAsia="zh-CN"/>
        </w:rPr>
        <w:t>机构</w:t>
      </w:r>
      <w:r>
        <w:rPr>
          <w:rFonts w:hint="default" w:ascii="Times New Roman" w:hAnsi="Times New Roman" w:eastAsia="仿宋_GB2312" w:cs="Times New Roman"/>
          <w:snapToGrid w:val="0"/>
          <w:color w:val="auto"/>
          <w:kern w:val="0"/>
          <w:sz w:val="32"/>
          <w:szCs w:val="32"/>
          <w:highlight w:val="none"/>
        </w:rPr>
        <w:t>现状、财力系数情况</w:t>
      </w:r>
      <w:r>
        <w:rPr>
          <w:rFonts w:hint="default" w:ascii="Times New Roman" w:hAnsi="Times New Roman" w:eastAsia="仿宋_GB2312" w:cs="Times New Roman"/>
          <w:b w:val="0"/>
          <w:bCs w:val="0"/>
          <w:snapToGrid w:val="0"/>
          <w:color w:val="auto"/>
          <w:spacing w:val="0"/>
          <w:kern w:val="0"/>
          <w:sz w:val="32"/>
          <w:szCs w:val="32"/>
          <w:highlight w:val="none"/>
          <w:lang w:val="en-US" w:eastAsia="zh-CN" w:bidi="ar-SA"/>
        </w:rPr>
        <w:t>等因素</w:t>
      </w:r>
      <w:r>
        <w:rPr>
          <w:rFonts w:hint="default" w:ascii="Times New Roman" w:hAnsi="Times New Roman" w:eastAsia="仿宋_GB2312" w:cs="Times New Roman"/>
          <w:b w:val="0"/>
          <w:bCs w:val="0"/>
          <w:snapToGrid w:val="0"/>
          <w:color w:val="auto"/>
          <w:kern w:val="0"/>
          <w:sz w:val="32"/>
          <w:szCs w:val="32"/>
          <w:highlight w:val="none"/>
          <w:lang w:eastAsia="zh-CN"/>
        </w:rPr>
        <w:t>。</w:t>
      </w:r>
      <w:r>
        <w:rPr>
          <w:rFonts w:hint="default" w:ascii="Times New Roman" w:hAnsi="Times New Roman" w:eastAsia="仿宋_GB2312" w:cs="Times New Roman"/>
          <w:b/>
          <w:bCs/>
          <w:snapToGrid w:val="0"/>
          <w:color w:val="auto"/>
          <w:sz w:val="32"/>
          <w:szCs w:val="32"/>
          <w:highlight w:val="none"/>
          <w:shd w:val="clear" w:color="auto" w:fill="FFFFFF"/>
          <w:lang w:val="en-US" w:eastAsia="zh-CN"/>
        </w:rPr>
        <w:t>二是</w:t>
      </w:r>
      <w:r>
        <w:rPr>
          <w:rFonts w:hint="default" w:ascii="Times New Roman" w:hAnsi="Times New Roman" w:eastAsia="仿宋_GB2312" w:cs="Times New Roman"/>
          <w:b w:val="0"/>
          <w:bCs w:val="0"/>
          <w:snapToGrid w:val="0"/>
          <w:color w:val="auto"/>
          <w:sz w:val="32"/>
          <w:szCs w:val="32"/>
          <w:highlight w:val="none"/>
          <w:lang w:val="en-US" w:eastAsia="zh-CN"/>
        </w:rPr>
        <w:t>认真做好补助资金统筹安排工作，严格按照转移支付管理制度以及资金管理办法规定的范围和标准分配资金，做到及时分解尽快下达。</w:t>
      </w:r>
      <w:r>
        <w:rPr>
          <w:rFonts w:hint="default" w:ascii="Times New Roman" w:hAnsi="Times New Roman" w:eastAsia="仿宋_GB2312" w:cs="Times New Roman"/>
          <w:b w:val="0"/>
          <w:bCs w:val="0"/>
          <w:i w:val="0"/>
          <w:caps w:val="0"/>
          <w:snapToGrid w:val="0"/>
          <w:color w:val="auto"/>
          <w:spacing w:val="0"/>
          <w:sz w:val="32"/>
          <w:szCs w:val="32"/>
          <w:highlight w:val="none"/>
          <w:shd w:val="clear" w:color="auto" w:fill="FFFFFF"/>
          <w:lang w:val="en-US" w:eastAsia="zh-CN"/>
        </w:rPr>
        <w:t>省财政厅在收到中央补助资金文件后按规定列入年初预算管理；省卫生健康委</w:t>
      </w:r>
      <w:r>
        <w:rPr>
          <w:rFonts w:hint="default" w:ascii="Times New Roman" w:hAnsi="Times New Roman" w:eastAsia="仿宋_GB2312" w:cs="Times New Roman"/>
          <w:b w:val="0"/>
          <w:bCs w:val="0"/>
          <w:snapToGrid w:val="0"/>
          <w:color w:val="auto"/>
          <w:kern w:val="0"/>
          <w:sz w:val="32"/>
          <w:szCs w:val="32"/>
          <w:highlight w:val="none"/>
          <w:lang w:val="en-US" w:eastAsia="zh-CN"/>
        </w:rPr>
        <w:t>结合资金</w:t>
      </w:r>
      <w:r>
        <w:rPr>
          <w:rFonts w:hint="default" w:ascii="Times New Roman" w:hAnsi="Times New Roman" w:eastAsia="仿宋_GB2312" w:cs="Times New Roman"/>
          <w:b w:val="0"/>
          <w:bCs w:val="0"/>
          <w:i w:val="0"/>
          <w:caps w:val="0"/>
          <w:snapToGrid w:val="0"/>
          <w:color w:val="auto"/>
          <w:spacing w:val="0"/>
          <w:sz w:val="32"/>
          <w:szCs w:val="32"/>
          <w:highlight w:val="none"/>
          <w:shd w:val="clear" w:color="auto" w:fill="FFFFFF"/>
          <w:lang w:val="en-US" w:eastAsia="zh-CN"/>
        </w:rPr>
        <w:t>分配要素</w:t>
      </w:r>
      <w:r>
        <w:rPr>
          <w:rFonts w:hint="default" w:ascii="Times New Roman" w:hAnsi="Times New Roman" w:eastAsia="仿宋_GB2312" w:cs="Times New Roman"/>
          <w:b w:val="0"/>
          <w:bCs w:val="0"/>
          <w:snapToGrid w:val="0"/>
          <w:color w:val="auto"/>
          <w:kern w:val="0"/>
          <w:sz w:val="32"/>
          <w:szCs w:val="32"/>
          <w:highlight w:val="none"/>
          <w:lang w:eastAsia="zh-CN"/>
        </w:rPr>
        <w:t>，</w:t>
      </w:r>
      <w:r>
        <w:rPr>
          <w:rFonts w:hint="default" w:ascii="Times New Roman" w:hAnsi="Times New Roman" w:eastAsia="仿宋_GB2312" w:cs="Times New Roman"/>
          <w:b w:val="0"/>
          <w:bCs w:val="0"/>
          <w:i w:val="0"/>
          <w:caps w:val="0"/>
          <w:snapToGrid w:val="0"/>
          <w:color w:val="auto"/>
          <w:spacing w:val="0"/>
          <w:sz w:val="32"/>
          <w:szCs w:val="32"/>
          <w:highlight w:val="none"/>
          <w:shd w:val="clear" w:color="auto" w:fill="FFFFFF"/>
          <w:lang w:val="en-US" w:eastAsia="zh-CN"/>
        </w:rPr>
        <w:t>在认真开展资金测算基础上，</w:t>
      </w:r>
      <w:r>
        <w:rPr>
          <w:rFonts w:hint="default" w:ascii="Times New Roman" w:hAnsi="Times New Roman" w:eastAsia="仿宋_GB2312" w:cs="Times New Roman"/>
          <w:b w:val="0"/>
          <w:bCs w:val="0"/>
          <w:snapToGrid w:val="0"/>
          <w:color w:val="auto"/>
          <w:sz w:val="32"/>
          <w:szCs w:val="32"/>
          <w:highlight w:val="none"/>
          <w:lang w:val="en-US" w:eastAsia="zh-CN"/>
        </w:rPr>
        <w:t>拟定中央资金分配方案，并经委领导班子集体审议通过后报省财政厅，同时，根据国家要求制定项目实施方案；省财政厅审核通过后上报财政部，</w:t>
      </w:r>
      <w:r>
        <w:rPr>
          <w:rFonts w:hint="default" w:ascii="Times New Roman" w:hAnsi="Times New Roman" w:eastAsia="仿宋_GB2312" w:cs="Times New Roman"/>
          <w:snapToGrid w:val="0"/>
          <w:color w:val="auto"/>
          <w:sz w:val="32"/>
          <w:szCs w:val="32"/>
          <w:highlight w:val="none"/>
          <w:lang w:eastAsia="zh-CN"/>
        </w:rPr>
        <w:t>有关资金分配方案</w:t>
      </w:r>
      <w:r>
        <w:rPr>
          <w:rFonts w:hint="default" w:ascii="Times New Roman" w:hAnsi="Times New Roman" w:eastAsia="仿宋_GB2312" w:cs="Times New Roman"/>
          <w:snapToGrid w:val="0"/>
          <w:color w:val="auto"/>
          <w:sz w:val="32"/>
          <w:szCs w:val="32"/>
          <w:highlight w:val="none"/>
          <w:lang w:val="en-US" w:eastAsia="zh-CN"/>
        </w:rPr>
        <w:t>经财政部</w:t>
      </w:r>
      <w:r>
        <w:rPr>
          <w:rFonts w:hint="default" w:ascii="Times New Roman" w:hAnsi="Times New Roman" w:eastAsia="仿宋_GB2312" w:cs="Times New Roman"/>
          <w:snapToGrid w:val="0"/>
          <w:color w:val="auto"/>
          <w:sz w:val="32"/>
          <w:szCs w:val="32"/>
          <w:highlight w:val="none"/>
          <w:lang w:eastAsia="zh-CN"/>
        </w:rPr>
        <w:t>审核同意后再</w:t>
      </w:r>
      <w:r>
        <w:rPr>
          <w:rFonts w:hint="default" w:ascii="Times New Roman" w:hAnsi="Times New Roman" w:eastAsia="仿宋_GB2312" w:cs="Times New Roman"/>
          <w:snapToGrid w:val="0"/>
          <w:color w:val="auto"/>
          <w:sz w:val="32"/>
          <w:szCs w:val="32"/>
          <w:highlight w:val="none"/>
          <w:lang w:val="en-US" w:eastAsia="zh-CN"/>
        </w:rPr>
        <w:t>行</w:t>
      </w:r>
      <w:r>
        <w:rPr>
          <w:rFonts w:hint="default" w:ascii="Times New Roman" w:hAnsi="Times New Roman" w:eastAsia="仿宋_GB2312" w:cs="Times New Roman"/>
          <w:snapToGrid w:val="0"/>
          <w:color w:val="auto"/>
          <w:sz w:val="32"/>
          <w:szCs w:val="32"/>
          <w:highlight w:val="none"/>
          <w:lang w:eastAsia="zh-CN"/>
        </w:rPr>
        <w:t>下达到市县。</w:t>
      </w:r>
      <w:r>
        <w:rPr>
          <w:rFonts w:hint="default" w:ascii="Times New Roman" w:hAnsi="Times New Roman" w:eastAsia="仿宋_GB2312" w:cs="Times New Roman"/>
          <w:b/>
          <w:bCs/>
          <w:snapToGrid w:val="0"/>
          <w:color w:val="auto"/>
          <w:sz w:val="32"/>
          <w:szCs w:val="32"/>
          <w:highlight w:val="none"/>
          <w:lang w:val="en-US" w:eastAsia="zh-CN"/>
        </w:rPr>
        <w:t>三是</w:t>
      </w:r>
      <w:r>
        <w:rPr>
          <w:rFonts w:hint="default" w:ascii="Times New Roman" w:hAnsi="Times New Roman" w:eastAsia="仿宋_GB2312" w:cs="Times New Roman"/>
          <w:snapToGrid w:val="0"/>
          <w:color w:val="auto"/>
          <w:sz w:val="32"/>
          <w:szCs w:val="32"/>
          <w:highlight w:val="none"/>
          <w:lang w:eastAsia="zh-CN"/>
        </w:rPr>
        <w:t>讲求绩效，量效挂钩。建立绩效评价结果与资金分配挂钩机制，提高转移支付资金使用效益。</w:t>
      </w:r>
      <w:r>
        <w:rPr>
          <w:rFonts w:hint="default" w:ascii="Times New Roman" w:hAnsi="Times New Roman" w:eastAsia="仿宋_GB2312" w:cs="Times New Roman"/>
          <w:b w:val="0"/>
          <w:bCs/>
          <w:snapToGrid w:val="0"/>
          <w:color w:val="auto"/>
          <w:sz w:val="32"/>
          <w:szCs w:val="32"/>
          <w:highlight w:val="none"/>
          <w:lang w:val="en-US" w:eastAsia="zh-CN"/>
        </w:rPr>
        <w:t>具体措施：</w:t>
      </w:r>
      <w:r>
        <w:rPr>
          <w:rFonts w:hint="default" w:ascii="Times New Roman" w:hAnsi="Times New Roman" w:eastAsia="仿宋_GB2312" w:cs="Times New Roman"/>
          <w:b w:val="0"/>
          <w:bCs w:val="0"/>
          <w:snapToGrid w:val="0"/>
          <w:color w:val="auto"/>
          <w:sz w:val="32"/>
          <w:szCs w:val="32"/>
          <w:highlight w:val="none"/>
        </w:rPr>
        <w:t>对未完成年度绩效目标及支出进度低于90%的地市扣减年度应拨补助金额的5%，奖励给绩效目标完成度高</w:t>
      </w:r>
      <w:r>
        <w:rPr>
          <w:rFonts w:hint="default" w:ascii="Times New Roman" w:hAnsi="Times New Roman" w:eastAsia="仿宋_GB2312" w:cs="Times New Roman"/>
          <w:b w:val="0"/>
          <w:bCs w:val="0"/>
          <w:snapToGrid w:val="0"/>
          <w:color w:val="auto"/>
          <w:sz w:val="32"/>
          <w:szCs w:val="32"/>
          <w:highlight w:val="none"/>
          <w:lang w:eastAsia="zh-CN"/>
        </w:rPr>
        <w:t>、</w:t>
      </w:r>
      <w:r>
        <w:rPr>
          <w:rFonts w:hint="default" w:ascii="Times New Roman" w:hAnsi="Times New Roman" w:eastAsia="仿宋_GB2312" w:cs="Times New Roman"/>
          <w:b w:val="0"/>
          <w:bCs w:val="0"/>
          <w:snapToGrid w:val="0"/>
          <w:color w:val="auto"/>
          <w:sz w:val="32"/>
          <w:szCs w:val="32"/>
          <w:highlight w:val="none"/>
        </w:rPr>
        <w:t>资金支出进度为100%的地市。因绩效因素导致转移支付资金额度扣减的，地方财政应予以补齐，确保落实相关工作。</w:t>
      </w:r>
      <w:r>
        <w:rPr>
          <w:rFonts w:hint="default" w:ascii="Times New Roman" w:hAnsi="Times New Roman" w:eastAsia="仿宋_GB2312" w:cs="Times New Roman"/>
          <w:b w:val="0"/>
          <w:bCs w:val="0"/>
          <w:snapToGrid w:val="0"/>
          <w:color w:val="auto"/>
          <w:sz w:val="32"/>
          <w:szCs w:val="32"/>
          <w:highlight w:val="none"/>
          <w:lang w:val="en-US" w:eastAsia="zh-CN"/>
        </w:rPr>
        <w:t>综上，</w:t>
      </w:r>
      <w:r>
        <w:rPr>
          <w:rFonts w:hint="default" w:ascii="Times New Roman" w:hAnsi="Times New Roman" w:eastAsia="仿宋_GB2312" w:cs="Times New Roman"/>
          <w:b w:val="0"/>
          <w:bCs w:val="0"/>
          <w:snapToGrid w:val="0"/>
          <w:color w:val="auto"/>
          <w:spacing w:val="0"/>
          <w:kern w:val="0"/>
          <w:sz w:val="32"/>
          <w:szCs w:val="32"/>
          <w:highlight w:val="none"/>
          <w:lang w:val="en-US" w:eastAsia="zh-CN"/>
        </w:rPr>
        <w:t>我省对中央转移支付分配严格遵循相关法律法规确定的决策程序，坚持集体决策，按规定程序审批。同时，坚持因素分配</w:t>
      </w:r>
      <w:r>
        <w:rPr>
          <w:rFonts w:hint="default" w:ascii="Times New Roman" w:hAnsi="Times New Roman" w:eastAsia="仿宋_GB2312" w:cs="Times New Roman"/>
          <w:i w:val="0"/>
          <w:iCs w:val="0"/>
          <w:snapToGrid w:val="0"/>
          <w:color w:val="auto"/>
          <w:kern w:val="0"/>
          <w:sz w:val="32"/>
          <w:szCs w:val="32"/>
          <w:highlight w:val="none"/>
          <w:u w:val="none"/>
          <w:lang w:val="en-US" w:eastAsia="zh-CN" w:bidi="ar"/>
        </w:rPr>
        <w:t>、科学测算</w:t>
      </w:r>
      <w:r>
        <w:rPr>
          <w:rFonts w:hint="default" w:ascii="Times New Roman" w:hAnsi="Times New Roman" w:eastAsia="仿宋_GB2312" w:cs="Times New Roman"/>
          <w:b w:val="0"/>
          <w:bCs w:val="0"/>
          <w:snapToGrid w:val="0"/>
          <w:color w:val="auto"/>
          <w:spacing w:val="0"/>
          <w:kern w:val="0"/>
          <w:sz w:val="32"/>
          <w:szCs w:val="32"/>
          <w:highlight w:val="none"/>
          <w:lang w:val="en-US" w:eastAsia="zh-CN"/>
        </w:rPr>
        <w:t>、兼顾公平，讲求绩效以及公开透明（分配方案在部门网站公开，接受社会监督）等原则，确保了中央转移支付资金分配的科学、规范、合理。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default" w:ascii="Times New Roman" w:hAnsi="Times New Roman" w:eastAsia="仿宋_GB2312" w:cs="Times New Roman"/>
          <w:snapToGrid w:val="0"/>
          <w:color w:val="auto"/>
          <w:sz w:val="32"/>
          <w:szCs w:val="32"/>
          <w:highlight w:val="none"/>
          <w:lang w:val="en-US" w:eastAsia="zh-CN"/>
        </w:rPr>
      </w:pPr>
      <w:r>
        <w:rPr>
          <w:rFonts w:hint="default" w:ascii="Times New Roman" w:hAnsi="Times New Roman" w:eastAsia="仿宋_GB2312" w:cs="Times New Roman"/>
          <w:b/>
          <w:bCs/>
          <w:snapToGrid w:val="0"/>
          <w:color w:val="auto"/>
          <w:kern w:val="0"/>
          <w:sz w:val="32"/>
          <w:szCs w:val="32"/>
          <w:highlight w:val="none"/>
          <w:lang w:val="en-US" w:eastAsia="zh-CN" w:bidi="ar"/>
        </w:rPr>
        <w:t>2</w:t>
      </w:r>
      <w:r>
        <w:rPr>
          <w:rFonts w:hint="default" w:ascii="仿宋_GB2312" w:hAnsi="仿宋_GB2312" w:eastAsia="仿宋_GB2312" w:cs="仿宋_GB2312"/>
          <w:b/>
          <w:bCs/>
          <w:snapToGrid w:val="0"/>
          <w:color w:val="auto"/>
          <w:kern w:val="0"/>
          <w:sz w:val="32"/>
          <w:szCs w:val="32"/>
          <w:highlight w:val="none"/>
          <w:lang w:val="en-US" w:eastAsia="zh-CN" w:bidi="ar"/>
        </w:rPr>
        <w:t>.下</w:t>
      </w:r>
      <w:r>
        <w:rPr>
          <w:rFonts w:hint="default" w:ascii="Times New Roman" w:hAnsi="Times New Roman" w:eastAsia="仿宋_GB2312" w:cs="Times New Roman"/>
          <w:b/>
          <w:bCs/>
          <w:snapToGrid w:val="0"/>
          <w:color w:val="auto"/>
          <w:kern w:val="0"/>
          <w:sz w:val="32"/>
          <w:szCs w:val="32"/>
          <w:highlight w:val="none"/>
          <w:lang w:val="en-US" w:eastAsia="zh-CN" w:bidi="ar"/>
        </w:rPr>
        <w:t>达及时性。</w:t>
      </w:r>
      <w:r>
        <w:rPr>
          <w:rFonts w:hint="default" w:ascii="Times New Roman" w:hAnsi="Times New Roman" w:eastAsia="仿宋_GB2312" w:cs="Times New Roman"/>
          <w:b w:val="0"/>
          <w:bCs w:val="0"/>
          <w:snapToGrid w:val="0"/>
          <w:color w:val="auto"/>
          <w:sz w:val="32"/>
          <w:szCs w:val="32"/>
          <w:highlight w:val="none"/>
          <w:lang w:val="en-US" w:eastAsia="zh-CN"/>
        </w:rPr>
        <w:t>严格按照预算法及其实施条例、转移支付管理制度规定以及资金管理办法规定要求分解下达，但是，我省分解下达2022年度</w:t>
      </w:r>
      <w:r>
        <w:rPr>
          <w:rFonts w:hint="default" w:ascii="Times New Roman" w:hAnsi="Times New Roman" w:eastAsia="仿宋_GB2312" w:cs="Times New Roman"/>
          <w:b w:val="0"/>
          <w:bCs w:val="0"/>
          <w:snapToGrid w:val="0"/>
          <w:color w:val="auto"/>
          <w:kern w:val="0"/>
          <w:sz w:val="32"/>
          <w:szCs w:val="32"/>
          <w:highlight w:val="none"/>
          <w:lang w:val="en-US" w:eastAsia="zh-CN" w:bidi="ar"/>
        </w:rPr>
        <w:t>基本药物制度</w:t>
      </w:r>
      <w:r>
        <w:rPr>
          <w:rFonts w:hint="default" w:ascii="Times New Roman" w:hAnsi="Times New Roman" w:eastAsia="仿宋_GB2312" w:cs="Times New Roman"/>
          <w:b w:val="0"/>
          <w:bCs w:val="0"/>
          <w:snapToGrid w:val="0"/>
          <w:color w:val="auto"/>
          <w:sz w:val="32"/>
          <w:szCs w:val="32"/>
          <w:highlight w:val="none"/>
          <w:lang w:val="en-US" w:eastAsia="zh-CN"/>
        </w:rPr>
        <w:t>中央转移支付提前批用时达到24天，第二批用时27天，平均用时25.5天（见表4），全部符合“在收到中央财政转移支付资金预算后30日内正式下达”的规定，资金下达及时。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宋体" w:cs="Times New Roman"/>
          <w:b/>
          <w:bCs/>
          <w:snapToGrid w:val="0"/>
          <w:color w:val="auto"/>
          <w:sz w:val="28"/>
          <w:szCs w:val="28"/>
          <w:highlight w:val="none"/>
          <w:lang w:val="en-US" w:eastAsia="zh-CN"/>
        </w:rPr>
      </w:pPr>
      <w:r>
        <w:rPr>
          <w:rFonts w:hint="default" w:ascii="Times New Roman" w:hAnsi="Times New Roman" w:eastAsia="宋体" w:cs="Times New Roman"/>
          <w:b/>
          <w:bCs/>
          <w:snapToGrid w:val="0"/>
          <w:color w:val="auto"/>
          <w:sz w:val="28"/>
          <w:szCs w:val="28"/>
          <w:highlight w:val="none"/>
          <w:lang w:val="en-US" w:eastAsia="zh-CN"/>
        </w:rPr>
        <w:t xml:space="preserve">表4 </w:t>
      </w:r>
      <w:r>
        <w:rPr>
          <w:rFonts w:hint="eastAsia" w:ascii="Times New Roman" w:hAnsi="Times New Roman" w:eastAsia="宋体" w:cs="Times New Roman"/>
          <w:b/>
          <w:bCs/>
          <w:snapToGrid w:val="0"/>
          <w:color w:val="auto"/>
          <w:sz w:val="28"/>
          <w:szCs w:val="28"/>
          <w:highlight w:val="none"/>
          <w:lang w:val="en-US" w:eastAsia="zh-CN"/>
        </w:rPr>
        <w:t xml:space="preserve"> </w:t>
      </w:r>
      <w:r>
        <w:rPr>
          <w:rFonts w:hint="default" w:ascii="Times New Roman" w:hAnsi="Times New Roman" w:eastAsia="宋体" w:cs="Times New Roman"/>
          <w:b/>
          <w:bCs/>
          <w:snapToGrid w:val="0"/>
          <w:color w:val="auto"/>
          <w:sz w:val="28"/>
          <w:szCs w:val="28"/>
          <w:highlight w:val="none"/>
          <w:lang w:val="en-US" w:eastAsia="zh-CN"/>
        </w:rPr>
        <w:t>资金下达时间情况</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51"/>
        <w:gridCol w:w="1721"/>
        <w:gridCol w:w="1515"/>
        <w:gridCol w:w="1326"/>
        <w:gridCol w:w="1704"/>
        <w:gridCol w:w="141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651" w:type="dxa"/>
            <w:vMerge w:val="restart"/>
            <w:tcBorders>
              <w:top w:val="single" w:color="000000" w:sz="8" w:space="0"/>
              <w:left w:val="single" w:color="000000" w:sz="8" w:space="0"/>
              <w:bottom w:val="single" w:color="000000" w:sz="8" w:space="0"/>
              <w:right w:val="single" w:color="000000" w:sz="8" w:space="0"/>
            </w:tcBorders>
            <w:shd w:val="clear" w:color="auto" w:fill="DAE3F3"/>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黑体" w:hAnsi="黑体" w:eastAsia="黑体" w:cs="黑体"/>
                <w:b w:val="0"/>
                <w:bCs/>
                <w:i w:val="0"/>
                <w:color w:val="auto"/>
                <w:sz w:val="24"/>
                <w:szCs w:val="24"/>
                <w:highlight w:val="none"/>
                <w:u w:val="none"/>
              </w:rPr>
            </w:pPr>
            <w:r>
              <w:rPr>
                <w:rFonts w:hint="eastAsia" w:ascii="黑体" w:hAnsi="黑体" w:eastAsia="黑体" w:cs="黑体"/>
                <w:b w:val="0"/>
                <w:bCs/>
                <w:i w:val="0"/>
                <w:color w:val="auto"/>
                <w:kern w:val="0"/>
                <w:sz w:val="24"/>
                <w:szCs w:val="24"/>
                <w:highlight w:val="none"/>
                <w:u w:val="none"/>
                <w:lang w:val="en-US" w:eastAsia="zh-CN" w:bidi="ar"/>
              </w:rPr>
              <w:t>序号</w:t>
            </w:r>
          </w:p>
        </w:tc>
        <w:tc>
          <w:tcPr>
            <w:tcW w:w="4562" w:type="dxa"/>
            <w:gridSpan w:val="3"/>
            <w:tcBorders>
              <w:top w:val="single" w:color="000000" w:sz="8" w:space="0"/>
              <w:left w:val="nil"/>
              <w:bottom w:val="single" w:color="000000" w:sz="8" w:space="0"/>
              <w:right w:val="single" w:color="000000" w:sz="8" w:space="0"/>
            </w:tcBorders>
            <w:shd w:val="clear" w:color="auto" w:fill="DAE3F3"/>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黑体" w:hAnsi="黑体" w:eastAsia="黑体" w:cs="黑体"/>
                <w:b w:val="0"/>
                <w:bCs/>
                <w:i w:val="0"/>
                <w:color w:val="auto"/>
                <w:sz w:val="24"/>
                <w:szCs w:val="24"/>
                <w:highlight w:val="none"/>
                <w:u w:val="none"/>
              </w:rPr>
            </w:pPr>
            <w:r>
              <w:rPr>
                <w:rFonts w:hint="eastAsia" w:ascii="黑体" w:hAnsi="黑体" w:eastAsia="黑体" w:cs="黑体"/>
                <w:b w:val="0"/>
                <w:bCs/>
                <w:i w:val="0"/>
                <w:color w:val="auto"/>
                <w:kern w:val="0"/>
                <w:sz w:val="24"/>
                <w:szCs w:val="24"/>
                <w:highlight w:val="none"/>
                <w:u w:val="none"/>
                <w:lang w:val="en-US" w:eastAsia="zh-CN" w:bidi="ar"/>
              </w:rPr>
              <w:t>中央下达</w:t>
            </w:r>
          </w:p>
        </w:tc>
        <w:tc>
          <w:tcPr>
            <w:tcW w:w="3114" w:type="dxa"/>
            <w:gridSpan w:val="2"/>
            <w:tcBorders>
              <w:top w:val="single" w:color="000000" w:sz="8" w:space="0"/>
              <w:left w:val="nil"/>
              <w:bottom w:val="single" w:color="000000" w:sz="8" w:space="0"/>
              <w:right w:val="single" w:color="000000" w:sz="8" w:space="0"/>
            </w:tcBorders>
            <w:shd w:val="clear" w:color="auto" w:fill="DAE3F3"/>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黑体" w:hAnsi="黑体" w:eastAsia="黑体" w:cs="黑体"/>
                <w:b w:val="0"/>
                <w:bCs/>
                <w:i w:val="0"/>
                <w:color w:val="auto"/>
                <w:sz w:val="24"/>
                <w:szCs w:val="24"/>
                <w:highlight w:val="none"/>
                <w:u w:val="none"/>
              </w:rPr>
            </w:pPr>
            <w:r>
              <w:rPr>
                <w:rFonts w:hint="eastAsia" w:ascii="黑体" w:hAnsi="黑体" w:eastAsia="黑体" w:cs="黑体"/>
                <w:b w:val="0"/>
                <w:bCs/>
                <w:i w:val="0"/>
                <w:color w:val="auto"/>
                <w:kern w:val="0"/>
                <w:sz w:val="24"/>
                <w:szCs w:val="24"/>
                <w:highlight w:val="none"/>
                <w:u w:val="none"/>
                <w:lang w:val="en-US" w:eastAsia="zh-CN" w:bidi="ar"/>
              </w:rPr>
              <w:t>省级下达</w:t>
            </w:r>
          </w:p>
        </w:tc>
        <w:tc>
          <w:tcPr>
            <w:tcW w:w="1080" w:type="dxa"/>
            <w:vMerge w:val="restart"/>
            <w:tcBorders>
              <w:top w:val="single" w:color="000000" w:sz="8" w:space="0"/>
              <w:left w:val="nil"/>
              <w:bottom w:val="single" w:color="000000" w:sz="8" w:space="0"/>
              <w:right w:val="single" w:color="000000" w:sz="8" w:space="0"/>
            </w:tcBorders>
            <w:shd w:val="clear" w:color="auto" w:fill="DAE3F3"/>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黑体" w:hAnsi="黑体" w:eastAsia="黑体" w:cs="黑体"/>
                <w:b w:val="0"/>
                <w:bCs/>
                <w:i w:val="0"/>
                <w:color w:val="auto"/>
                <w:sz w:val="24"/>
                <w:szCs w:val="24"/>
                <w:highlight w:val="none"/>
                <w:u w:val="none"/>
              </w:rPr>
            </w:pPr>
            <w:r>
              <w:rPr>
                <w:rFonts w:hint="eastAsia" w:ascii="黑体" w:hAnsi="黑体" w:eastAsia="黑体" w:cs="黑体"/>
                <w:b w:val="0"/>
                <w:bCs/>
                <w:i w:val="0"/>
                <w:color w:val="auto"/>
                <w:kern w:val="0"/>
                <w:sz w:val="24"/>
                <w:szCs w:val="24"/>
                <w:highlight w:val="none"/>
                <w:u w:val="none"/>
                <w:lang w:val="en-US" w:eastAsia="zh-CN" w:bidi="ar"/>
              </w:rPr>
              <w:t>用时(天)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651" w:type="dxa"/>
            <w:vMerge w:val="continue"/>
            <w:tcBorders>
              <w:top w:val="single" w:color="000000" w:sz="8" w:space="0"/>
              <w:left w:val="single" w:color="000000" w:sz="8" w:space="0"/>
              <w:bottom w:val="single" w:color="000000" w:sz="8" w:space="0"/>
              <w:right w:val="single" w:color="000000" w:sz="8" w:space="0"/>
            </w:tcBorders>
            <w:shd w:val="clear" w:color="auto" w:fill="DAE3F3"/>
            <w:noWrap w:val="0"/>
            <w:tcMar>
              <w:top w:w="15" w:type="dxa"/>
              <w:left w:w="15" w:type="dxa"/>
              <w:right w:w="15" w:type="dxa"/>
            </w:tcMar>
            <w:vAlign w:val="center"/>
          </w:tcPr>
          <w:p>
            <w:pPr>
              <w:spacing w:line="240" w:lineRule="exact"/>
              <w:jc w:val="center"/>
              <w:rPr>
                <w:rFonts w:hint="default" w:ascii="Times New Roman" w:hAnsi="Times New Roman" w:eastAsia="宋体" w:cs="Times New Roman"/>
                <w:b/>
                <w:i w:val="0"/>
                <w:color w:val="auto"/>
                <w:sz w:val="24"/>
                <w:szCs w:val="24"/>
                <w:highlight w:val="none"/>
                <w:u w:val="none"/>
              </w:rPr>
            </w:pPr>
          </w:p>
        </w:tc>
        <w:tc>
          <w:tcPr>
            <w:tcW w:w="1721" w:type="dxa"/>
            <w:tcBorders>
              <w:top w:val="nil"/>
              <w:left w:val="nil"/>
              <w:bottom w:val="single" w:color="000000" w:sz="8" w:space="0"/>
              <w:right w:val="single" w:color="000000" w:sz="8" w:space="0"/>
            </w:tcBorders>
            <w:shd w:val="clear" w:color="auto" w:fill="DAE3F3"/>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黑体" w:hAnsi="黑体" w:eastAsia="黑体" w:cs="黑体"/>
                <w:b w:val="0"/>
                <w:bCs/>
                <w:i w:val="0"/>
                <w:color w:val="auto"/>
                <w:kern w:val="0"/>
                <w:sz w:val="24"/>
                <w:szCs w:val="24"/>
                <w:highlight w:val="none"/>
                <w:u w:val="none"/>
                <w:lang w:val="en-US" w:eastAsia="zh-CN" w:bidi="ar"/>
              </w:rPr>
            </w:pPr>
            <w:r>
              <w:rPr>
                <w:rFonts w:hint="default" w:ascii="黑体" w:hAnsi="黑体" w:eastAsia="黑体" w:cs="黑体"/>
                <w:b w:val="0"/>
                <w:bCs/>
                <w:i w:val="0"/>
                <w:color w:val="auto"/>
                <w:kern w:val="0"/>
                <w:sz w:val="24"/>
                <w:szCs w:val="24"/>
                <w:highlight w:val="none"/>
                <w:u w:val="none"/>
                <w:lang w:val="en-US" w:eastAsia="zh-CN" w:bidi="ar"/>
              </w:rPr>
              <w:t>文件号财社</w:t>
            </w:r>
          </w:p>
        </w:tc>
        <w:tc>
          <w:tcPr>
            <w:tcW w:w="1515" w:type="dxa"/>
            <w:tcBorders>
              <w:top w:val="nil"/>
              <w:left w:val="nil"/>
              <w:bottom w:val="single" w:color="000000" w:sz="8" w:space="0"/>
              <w:right w:val="single" w:color="000000" w:sz="8" w:space="0"/>
            </w:tcBorders>
            <w:shd w:val="clear" w:color="auto" w:fill="DAE3F3"/>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黑体" w:hAnsi="黑体" w:eastAsia="黑体" w:cs="黑体"/>
                <w:b w:val="0"/>
                <w:bCs/>
                <w:i w:val="0"/>
                <w:color w:val="auto"/>
                <w:kern w:val="0"/>
                <w:sz w:val="24"/>
                <w:szCs w:val="24"/>
                <w:highlight w:val="none"/>
                <w:u w:val="none"/>
                <w:lang w:val="en-US" w:eastAsia="zh-CN" w:bidi="ar"/>
              </w:rPr>
            </w:pPr>
            <w:r>
              <w:rPr>
                <w:rFonts w:hint="default" w:ascii="黑体" w:hAnsi="黑体" w:eastAsia="黑体" w:cs="黑体"/>
                <w:b w:val="0"/>
                <w:bCs/>
                <w:i w:val="0"/>
                <w:color w:val="auto"/>
                <w:kern w:val="0"/>
                <w:sz w:val="24"/>
                <w:szCs w:val="24"/>
                <w:highlight w:val="none"/>
                <w:u w:val="none"/>
                <w:lang w:val="en-US" w:eastAsia="zh-CN" w:bidi="ar"/>
              </w:rPr>
              <w:t>落款时间</w:t>
            </w:r>
          </w:p>
        </w:tc>
        <w:tc>
          <w:tcPr>
            <w:tcW w:w="1326" w:type="dxa"/>
            <w:tcBorders>
              <w:top w:val="nil"/>
              <w:left w:val="nil"/>
              <w:bottom w:val="single" w:color="000000" w:sz="8" w:space="0"/>
              <w:right w:val="single" w:color="000000" w:sz="8" w:space="0"/>
            </w:tcBorders>
            <w:shd w:val="clear" w:color="auto" w:fill="DAE3F3"/>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黑体" w:hAnsi="黑体" w:eastAsia="黑体" w:cs="黑体"/>
                <w:b w:val="0"/>
                <w:bCs/>
                <w:i w:val="0"/>
                <w:color w:val="auto"/>
                <w:kern w:val="0"/>
                <w:sz w:val="24"/>
                <w:szCs w:val="24"/>
                <w:highlight w:val="none"/>
                <w:u w:val="none"/>
                <w:lang w:val="en-US" w:eastAsia="zh-CN" w:bidi="ar"/>
              </w:rPr>
            </w:pPr>
            <w:r>
              <w:rPr>
                <w:rFonts w:hint="default" w:ascii="黑体" w:hAnsi="黑体" w:eastAsia="黑体" w:cs="黑体"/>
                <w:b w:val="0"/>
                <w:bCs/>
                <w:i w:val="0"/>
                <w:color w:val="auto"/>
                <w:kern w:val="0"/>
                <w:sz w:val="24"/>
                <w:szCs w:val="24"/>
                <w:highlight w:val="none"/>
                <w:u w:val="none"/>
                <w:lang w:val="en-US" w:eastAsia="zh-CN" w:bidi="ar"/>
              </w:rPr>
              <w:t>收文时间</w:t>
            </w:r>
          </w:p>
        </w:tc>
        <w:tc>
          <w:tcPr>
            <w:tcW w:w="1704" w:type="dxa"/>
            <w:tcBorders>
              <w:top w:val="nil"/>
              <w:left w:val="nil"/>
              <w:bottom w:val="single" w:color="000000" w:sz="8" w:space="0"/>
              <w:right w:val="single" w:color="000000" w:sz="8" w:space="0"/>
            </w:tcBorders>
            <w:shd w:val="clear" w:color="auto" w:fill="DAE3F3"/>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黑体" w:hAnsi="黑体" w:eastAsia="黑体" w:cs="黑体"/>
                <w:b w:val="0"/>
                <w:bCs/>
                <w:i w:val="0"/>
                <w:color w:val="auto"/>
                <w:kern w:val="0"/>
                <w:sz w:val="24"/>
                <w:szCs w:val="24"/>
                <w:highlight w:val="none"/>
                <w:u w:val="none"/>
                <w:lang w:val="en-US" w:eastAsia="zh-CN" w:bidi="ar"/>
              </w:rPr>
            </w:pPr>
            <w:r>
              <w:rPr>
                <w:rFonts w:hint="default" w:ascii="黑体" w:hAnsi="黑体" w:eastAsia="黑体" w:cs="黑体"/>
                <w:b w:val="0"/>
                <w:bCs/>
                <w:i w:val="0"/>
                <w:color w:val="auto"/>
                <w:kern w:val="0"/>
                <w:sz w:val="24"/>
                <w:szCs w:val="24"/>
                <w:highlight w:val="none"/>
                <w:u w:val="none"/>
                <w:lang w:val="en-US" w:eastAsia="zh-CN" w:bidi="ar"/>
              </w:rPr>
              <w:t>文件号粤财社</w:t>
            </w:r>
          </w:p>
        </w:tc>
        <w:tc>
          <w:tcPr>
            <w:tcW w:w="1410" w:type="dxa"/>
            <w:tcBorders>
              <w:top w:val="single" w:color="000000" w:sz="8" w:space="0"/>
              <w:left w:val="nil"/>
              <w:bottom w:val="single" w:color="000000" w:sz="8" w:space="0"/>
              <w:right w:val="single" w:color="000000" w:sz="8" w:space="0"/>
            </w:tcBorders>
            <w:shd w:val="clear" w:color="auto" w:fill="DAE3F3"/>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黑体" w:hAnsi="黑体" w:eastAsia="黑体" w:cs="黑体"/>
                <w:b w:val="0"/>
                <w:bCs/>
                <w:i w:val="0"/>
                <w:color w:val="auto"/>
                <w:kern w:val="0"/>
                <w:sz w:val="24"/>
                <w:szCs w:val="24"/>
                <w:highlight w:val="none"/>
                <w:u w:val="none"/>
                <w:lang w:val="en-US" w:eastAsia="zh-CN" w:bidi="ar"/>
              </w:rPr>
            </w:pPr>
            <w:r>
              <w:rPr>
                <w:rFonts w:hint="default" w:ascii="黑体" w:hAnsi="黑体" w:eastAsia="黑体" w:cs="黑体"/>
                <w:b w:val="0"/>
                <w:bCs/>
                <w:i w:val="0"/>
                <w:color w:val="auto"/>
                <w:kern w:val="0"/>
                <w:sz w:val="24"/>
                <w:szCs w:val="24"/>
                <w:highlight w:val="none"/>
                <w:u w:val="none"/>
                <w:lang w:val="en-US" w:eastAsia="zh-CN" w:bidi="ar"/>
              </w:rPr>
              <w:t>下达时间</w:t>
            </w:r>
          </w:p>
        </w:tc>
        <w:tc>
          <w:tcPr>
            <w:tcW w:w="1080" w:type="dxa"/>
            <w:vMerge w:val="continue"/>
            <w:tcBorders>
              <w:top w:val="single" w:color="000000" w:sz="8" w:space="0"/>
              <w:left w:val="nil"/>
              <w:bottom w:val="single" w:color="000000" w:sz="8" w:space="0"/>
              <w:right w:val="single" w:color="000000" w:sz="8" w:space="0"/>
            </w:tcBorders>
            <w:shd w:val="clear" w:color="auto" w:fill="DAE3F3"/>
            <w:noWrap/>
            <w:tcMar>
              <w:top w:w="15" w:type="dxa"/>
              <w:left w:w="15" w:type="dxa"/>
              <w:right w:w="15" w:type="dxa"/>
            </w:tcMar>
            <w:vAlign w:val="center"/>
          </w:tcPr>
          <w:p>
            <w:pPr>
              <w:spacing w:line="240" w:lineRule="exact"/>
              <w:jc w:val="center"/>
              <w:rPr>
                <w:rFonts w:hint="default" w:ascii="Times New Roman" w:hAnsi="Times New Roman" w:eastAsia="宋体" w:cs="Times New Roman"/>
                <w:b/>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651"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1</w:t>
            </w:r>
          </w:p>
        </w:tc>
        <w:tc>
          <w:tcPr>
            <w:tcW w:w="1721"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〔2021〕170号</w:t>
            </w:r>
          </w:p>
        </w:tc>
        <w:tc>
          <w:tcPr>
            <w:tcW w:w="1515"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2021/10/29</w:t>
            </w:r>
          </w:p>
        </w:tc>
        <w:tc>
          <w:tcPr>
            <w:tcW w:w="1326"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2021/11/26</w:t>
            </w:r>
          </w:p>
        </w:tc>
        <w:tc>
          <w:tcPr>
            <w:tcW w:w="170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line="24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〔2021〕317号</w:t>
            </w:r>
          </w:p>
        </w:tc>
        <w:tc>
          <w:tcPr>
            <w:tcW w:w="1410"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2021/12/20</w:t>
            </w:r>
          </w:p>
        </w:tc>
        <w:tc>
          <w:tcPr>
            <w:tcW w:w="1080"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651" w:type="dxa"/>
            <w:tcBorders>
              <w:top w:val="nil"/>
              <w:left w:val="single" w:color="000000" w:sz="8" w:space="0"/>
              <w:bottom w:val="single" w:color="000000" w:sz="8" w:space="0"/>
              <w:right w:val="single" w:color="000000" w:sz="8" w:space="0"/>
            </w:tcBorders>
            <w:shd w:val="clear" w:color="auto" w:fill="DAE3F3"/>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2</w:t>
            </w:r>
          </w:p>
        </w:tc>
        <w:tc>
          <w:tcPr>
            <w:tcW w:w="1721" w:type="dxa"/>
            <w:tcBorders>
              <w:top w:val="nil"/>
              <w:left w:val="nil"/>
              <w:bottom w:val="single" w:color="000000" w:sz="8" w:space="0"/>
              <w:right w:val="single" w:color="000000" w:sz="8" w:space="0"/>
            </w:tcBorders>
            <w:shd w:val="clear" w:color="auto" w:fill="DAE3F3"/>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〔2022〕51号</w:t>
            </w:r>
          </w:p>
        </w:tc>
        <w:tc>
          <w:tcPr>
            <w:tcW w:w="1515" w:type="dxa"/>
            <w:tcBorders>
              <w:top w:val="nil"/>
              <w:left w:val="nil"/>
              <w:bottom w:val="single" w:color="000000" w:sz="8" w:space="0"/>
              <w:right w:val="single" w:color="000000" w:sz="8" w:space="0"/>
            </w:tcBorders>
            <w:shd w:val="clear" w:color="auto" w:fill="DAE3F3"/>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2022/4/24</w:t>
            </w:r>
          </w:p>
        </w:tc>
        <w:tc>
          <w:tcPr>
            <w:tcW w:w="1326" w:type="dxa"/>
            <w:tcBorders>
              <w:top w:val="nil"/>
              <w:left w:val="nil"/>
              <w:bottom w:val="single" w:color="000000" w:sz="8" w:space="0"/>
              <w:right w:val="single" w:color="000000" w:sz="8" w:space="0"/>
            </w:tcBorders>
            <w:shd w:val="clear" w:color="auto" w:fill="DAE3F3"/>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2022/5/13</w:t>
            </w:r>
          </w:p>
        </w:tc>
        <w:tc>
          <w:tcPr>
            <w:tcW w:w="1704" w:type="dxa"/>
            <w:tcBorders>
              <w:top w:val="nil"/>
              <w:left w:val="nil"/>
              <w:bottom w:val="single" w:color="000000" w:sz="8" w:space="0"/>
              <w:right w:val="single" w:color="000000" w:sz="8" w:space="0"/>
            </w:tcBorders>
            <w:shd w:val="clear" w:color="auto" w:fill="DAE3F3"/>
            <w:noWrap w:val="0"/>
            <w:tcMar>
              <w:top w:w="15" w:type="dxa"/>
              <w:left w:w="15" w:type="dxa"/>
              <w:right w:w="15" w:type="dxa"/>
            </w:tcMar>
            <w:vAlign w:val="center"/>
          </w:tcPr>
          <w:p>
            <w:pPr>
              <w:keepNext w:val="0"/>
              <w:keepLines w:val="0"/>
              <w:widowControl/>
              <w:suppressLineNumbers w:val="0"/>
              <w:spacing w:line="24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〔2022〕115号</w:t>
            </w:r>
          </w:p>
        </w:tc>
        <w:tc>
          <w:tcPr>
            <w:tcW w:w="1410" w:type="dxa"/>
            <w:tcBorders>
              <w:top w:val="nil"/>
              <w:left w:val="nil"/>
              <w:bottom w:val="single" w:color="000000" w:sz="8" w:space="0"/>
              <w:right w:val="single" w:color="000000" w:sz="8" w:space="0"/>
            </w:tcBorders>
            <w:shd w:val="clear" w:color="auto" w:fill="DAE3F3"/>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2022/6/9*</w:t>
            </w:r>
          </w:p>
        </w:tc>
        <w:tc>
          <w:tcPr>
            <w:tcW w:w="1080"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27</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0"/>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bidi="ar"/>
        </w:rPr>
        <w:t>3</w:t>
      </w:r>
      <w:r>
        <w:rPr>
          <w:rFonts w:hint="default" w:ascii="仿宋_GB2312" w:hAnsi="仿宋_GB2312" w:eastAsia="仿宋_GB2312" w:cs="仿宋_GB2312"/>
          <w:b/>
          <w:bCs/>
          <w:snapToGrid w:val="0"/>
          <w:color w:val="auto"/>
          <w:kern w:val="0"/>
          <w:sz w:val="32"/>
          <w:szCs w:val="32"/>
          <w:highlight w:val="none"/>
          <w:lang w:val="en-US" w:eastAsia="zh-CN" w:bidi="ar"/>
        </w:rPr>
        <w:t>.拨</w:t>
      </w:r>
      <w:r>
        <w:rPr>
          <w:rFonts w:hint="default" w:ascii="Times New Roman" w:hAnsi="Times New Roman" w:eastAsia="仿宋_GB2312" w:cs="Times New Roman"/>
          <w:b/>
          <w:bCs/>
          <w:color w:val="auto"/>
          <w:kern w:val="0"/>
          <w:sz w:val="32"/>
          <w:szCs w:val="32"/>
          <w:highlight w:val="none"/>
          <w:lang w:bidi="ar"/>
        </w:rPr>
        <w:t>付合规性。</w:t>
      </w:r>
      <w:r>
        <w:rPr>
          <w:rFonts w:hint="default" w:ascii="Times New Roman" w:hAnsi="Times New Roman" w:eastAsia="仿宋_GB2312" w:cs="Times New Roman"/>
          <w:b w:val="0"/>
          <w:bCs w:val="0"/>
          <w:color w:val="auto"/>
          <w:kern w:val="0"/>
          <w:sz w:val="32"/>
          <w:szCs w:val="32"/>
          <w:highlight w:val="none"/>
        </w:rPr>
        <w:t>严格按照</w:t>
      </w:r>
      <w:r>
        <w:rPr>
          <w:rFonts w:hint="default" w:ascii="Times New Roman" w:hAnsi="Times New Roman" w:cs="Times New Roman"/>
          <w:b w:val="0"/>
          <w:bCs w:val="0"/>
          <w:color w:val="auto"/>
          <w:kern w:val="0"/>
          <w:sz w:val="32"/>
          <w:szCs w:val="32"/>
          <w:highlight w:val="none"/>
          <w:lang w:val="en-US" w:eastAsia="zh-CN"/>
        </w:rPr>
        <w:t>财政预算和</w:t>
      </w:r>
      <w:r>
        <w:rPr>
          <w:rFonts w:hint="default" w:ascii="Times New Roman" w:hAnsi="Times New Roman" w:eastAsia="仿宋_GB2312" w:cs="Times New Roman"/>
          <w:b w:val="0"/>
          <w:bCs w:val="0"/>
          <w:color w:val="auto"/>
          <w:kern w:val="0"/>
          <w:sz w:val="32"/>
          <w:szCs w:val="32"/>
          <w:highlight w:val="none"/>
        </w:rPr>
        <w:t>国库集中支付制度有关规定</w:t>
      </w:r>
      <w:r>
        <w:rPr>
          <w:rFonts w:hint="default" w:ascii="Times New Roman" w:hAnsi="Times New Roman" w:cs="Times New Roman"/>
          <w:b w:val="0"/>
          <w:bCs w:val="0"/>
          <w:color w:val="auto"/>
          <w:kern w:val="0"/>
          <w:sz w:val="32"/>
          <w:szCs w:val="32"/>
          <w:highlight w:val="none"/>
          <w:lang w:eastAsia="zh-CN"/>
        </w:rPr>
        <w:t>拨</w:t>
      </w:r>
      <w:r>
        <w:rPr>
          <w:rFonts w:hint="default" w:ascii="Times New Roman" w:hAnsi="Times New Roman" w:eastAsia="仿宋_GB2312" w:cs="Times New Roman"/>
          <w:b w:val="0"/>
          <w:bCs w:val="0"/>
          <w:color w:val="auto"/>
          <w:kern w:val="0"/>
          <w:sz w:val="32"/>
          <w:szCs w:val="32"/>
          <w:highlight w:val="none"/>
        </w:rPr>
        <w:t>付资金，规范预算执行管理</w:t>
      </w:r>
      <w:r>
        <w:rPr>
          <w:rFonts w:hint="default" w:ascii="Times New Roman" w:hAnsi="Times New Roman" w:eastAsia="仿宋_GB2312" w:cs="Times New Roman"/>
          <w:b w:val="0"/>
          <w:bCs w:val="0"/>
          <w:color w:val="auto"/>
          <w:kern w:val="0"/>
          <w:sz w:val="32"/>
          <w:szCs w:val="32"/>
          <w:highlight w:val="none"/>
          <w:lang w:eastAsia="zh-CN"/>
        </w:rPr>
        <w:t>，</w:t>
      </w:r>
      <w:r>
        <w:rPr>
          <w:rFonts w:hint="default" w:ascii="Times New Roman" w:hAnsi="Times New Roman" w:eastAsia="仿宋_GB2312" w:cs="Times New Roman"/>
          <w:b w:val="0"/>
          <w:bCs w:val="0"/>
          <w:color w:val="auto"/>
          <w:kern w:val="0"/>
          <w:sz w:val="32"/>
          <w:szCs w:val="32"/>
          <w:highlight w:val="none"/>
          <w:lang w:val="en-US" w:eastAsia="zh-CN"/>
        </w:rPr>
        <w:t>把好资金拨付关口，确保资金安全、规范和有效使用</w:t>
      </w:r>
      <w:r>
        <w:rPr>
          <w:rFonts w:hint="default" w:ascii="Times New Roman" w:hAnsi="Times New Roman" w:eastAsia="仿宋_GB2312" w:cs="Times New Roman"/>
          <w:b w:val="0"/>
          <w:bCs w:val="0"/>
          <w:color w:val="auto"/>
          <w:kern w:val="0"/>
          <w:sz w:val="32"/>
          <w:szCs w:val="32"/>
          <w:highlight w:val="none"/>
          <w:lang w:eastAsia="zh-CN"/>
        </w:rPr>
        <w:t>。</w:t>
      </w:r>
      <w:r>
        <w:rPr>
          <w:rFonts w:hint="default" w:ascii="Times New Roman" w:hAnsi="Times New Roman" w:eastAsia="仿宋_GB2312" w:cs="Times New Roman"/>
          <w:b w:val="0"/>
          <w:bCs w:val="0"/>
          <w:color w:val="auto"/>
          <w:kern w:val="0"/>
          <w:sz w:val="32"/>
          <w:szCs w:val="32"/>
          <w:highlight w:val="none"/>
          <w:lang w:val="en-US" w:eastAsia="zh-CN"/>
        </w:rPr>
        <w:t>2022年，我省负责实施的中央财政补助</w:t>
      </w:r>
      <w:r>
        <w:rPr>
          <w:rFonts w:hint="default" w:ascii="Times New Roman" w:hAnsi="Times New Roman" w:eastAsia="仿宋_GB2312" w:cs="Times New Roman"/>
          <w:b w:val="0"/>
          <w:bCs w:val="0"/>
          <w:color w:val="auto"/>
          <w:kern w:val="0"/>
          <w:sz w:val="32"/>
          <w:szCs w:val="32"/>
          <w:highlight w:val="none"/>
          <w:lang w:val="en-US" w:eastAsia="zh-CN" w:bidi="ar"/>
        </w:rPr>
        <w:t>基本药物制度项目，</w:t>
      </w:r>
      <w:r>
        <w:rPr>
          <w:rFonts w:hint="default" w:ascii="Times New Roman" w:hAnsi="Times New Roman" w:eastAsia="仿宋_GB2312" w:cs="Times New Roman"/>
          <w:b w:val="0"/>
          <w:bCs w:val="0"/>
          <w:color w:val="auto"/>
          <w:kern w:val="0"/>
          <w:sz w:val="32"/>
          <w:szCs w:val="32"/>
          <w:highlight w:val="none"/>
          <w:lang w:val="en-US" w:eastAsia="zh-CN"/>
        </w:rPr>
        <w:t>没有</w:t>
      </w:r>
      <w:r>
        <w:rPr>
          <w:rFonts w:hint="default" w:ascii="Times New Roman" w:hAnsi="Times New Roman" w:cs="Times New Roman"/>
          <w:b w:val="0"/>
          <w:bCs w:val="0"/>
          <w:color w:val="auto"/>
          <w:kern w:val="0"/>
          <w:sz w:val="32"/>
          <w:szCs w:val="32"/>
          <w:highlight w:val="none"/>
          <w:lang w:eastAsia="zh-CN"/>
        </w:rPr>
        <w:t>发</w:t>
      </w:r>
      <w:r>
        <w:rPr>
          <w:rFonts w:hint="default" w:ascii="Times New Roman" w:hAnsi="Times New Roman" w:eastAsia="仿宋_GB2312" w:cs="Times New Roman"/>
          <w:b w:val="0"/>
          <w:bCs w:val="0"/>
          <w:color w:val="auto"/>
          <w:kern w:val="0"/>
          <w:sz w:val="32"/>
          <w:szCs w:val="32"/>
          <w:highlight w:val="none"/>
        </w:rPr>
        <w:t>现违规将资金从国库转入财政专户或</w:t>
      </w:r>
      <w:r>
        <w:rPr>
          <w:rFonts w:hint="default" w:ascii="Times New Roman" w:hAnsi="Times New Roman" w:cs="Times New Roman"/>
          <w:b w:val="0"/>
          <w:bCs w:val="0"/>
          <w:color w:val="auto"/>
          <w:kern w:val="0"/>
          <w:sz w:val="32"/>
          <w:szCs w:val="32"/>
          <w:highlight w:val="none"/>
          <w:lang w:eastAsia="zh-CN"/>
        </w:rPr>
        <w:t>拨</w:t>
      </w:r>
      <w:r>
        <w:rPr>
          <w:rFonts w:hint="default" w:ascii="Times New Roman" w:hAnsi="Times New Roman" w:eastAsia="仿宋_GB2312" w:cs="Times New Roman"/>
          <w:b w:val="0"/>
          <w:bCs w:val="0"/>
          <w:color w:val="auto"/>
          <w:kern w:val="0"/>
          <w:sz w:val="32"/>
          <w:szCs w:val="32"/>
          <w:highlight w:val="none"/>
        </w:rPr>
        <w:t>付到预算单位实有资金账户等问题</w:t>
      </w:r>
      <w:r>
        <w:rPr>
          <w:rFonts w:hint="default" w:ascii="Times New Roman" w:hAnsi="Times New Roman" w:eastAsia="仿宋_GB2312" w:cs="Times New Roman"/>
          <w:b w:val="0"/>
          <w:bCs w:val="0"/>
          <w:color w:val="auto"/>
          <w:kern w:val="0"/>
          <w:sz w:val="32"/>
          <w:szCs w:val="32"/>
          <w:highlight w:val="none"/>
          <w:lang w:eastAsia="zh-CN"/>
        </w:rPr>
        <w:t>，</w:t>
      </w:r>
      <w:r>
        <w:rPr>
          <w:rFonts w:hint="default" w:ascii="Times New Roman" w:hAnsi="Times New Roman" w:eastAsia="仿宋_GB2312" w:cs="Times New Roman"/>
          <w:b w:val="0"/>
          <w:bCs w:val="0"/>
          <w:color w:val="auto"/>
          <w:kern w:val="0"/>
          <w:sz w:val="32"/>
          <w:szCs w:val="32"/>
          <w:highlight w:val="none"/>
        </w:rPr>
        <w:t>拨付合规性</w:t>
      </w:r>
      <w:r>
        <w:rPr>
          <w:rFonts w:hint="default" w:ascii="Times New Roman" w:hAnsi="Times New Roman" w:eastAsia="仿宋_GB2312" w:cs="Times New Roman"/>
          <w:b w:val="0"/>
          <w:bCs w:val="0"/>
          <w:color w:val="auto"/>
          <w:kern w:val="0"/>
          <w:sz w:val="32"/>
          <w:szCs w:val="32"/>
          <w:highlight w:val="none"/>
          <w:lang w:val="en-US" w:eastAsia="zh-CN"/>
        </w:rPr>
        <w:t>100%</w:t>
      </w:r>
      <w:r>
        <w:rPr>
          <w:rFonts w:hint="default" w:ascii="Times New Roman" w:hAnsi="Times New Roman" w:eastAsia="仿宋_GB2312" w:cs="Times New Roman"/>
          <w:b w:val="0"/>
          <w:bCs w:val="0"/>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0"/>
        <w:rPr>
          <w:rFonts w:hint="default" w:ascii="Times New Roman" w:hAnsi="Times New Roman" w:eastAsia="仿宋_GB2312" w:cs="Times New Roman"/>
          <w:b w:val="0"/>
          <w:bCs w:val="0"/>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bidi="ar"/>
        </w:rPr>
        <w:t>4</w:t>
      </w:r>
      <w:r>
        <w:rPr>
          <w:rFonts w:hint="default" w:ascii="仿宋_GB2312" w:hAnsi="仿宋_GB2312" w:eastAsia="仿宋_GB2312" w:cs="仿宋_GB2312"/>
          <w:b/>
          <w:bCs/>
          <w:snapToGrid w:val="0"/>
          <w:color w:val="auto"/>
          <w:kern w:val="0"/>
          <w:sz w:val="32"/>
          <w:szCs w:val="32"/>
          <w:highlight w:val="none"/>
          <w:lang w:val="en-US" w:eastAsia="zh-CN" w:bidi="ar"/>
        </w:rPr>
        <w:t>.使用</w:t>
      </w:r>
      <w:r>
        <w:rPr>
          <w:rFonts w:hint="default" w:ascii="Times New Roman" w:hAnsi="Times New Roman" w:eastAsia="仿宋_GB2312" w:cs="Times New Roman"/>
          <w:b/>
          <w:bCs/>
          <w:color w:val="auto"/>
          <w:kern w:val="0"/>
          <w:sz w:val="32"/>
          <w:szCs w:val="32"/>
          <w:highlight w:val="none"/>
          <w:lang w:bidi="ar"/>
        </w:rPr>
        <w:t>规范性。</w:t>
      </w:r>
      <w:r>
        <w:rPr>
          <w:rFonts w:hint="default" w:ascii="Times New Roman" w:hAnsi="Times New Roman" w:cs="Times New Roman"/>
          <w:b/>
          <w:bCs/>
          <w:color w:val="auto"/>
          <w:kern w:val="0"/>
          <w:sz w:val="32"/>
          <w:szCs w:val="32"/>
          <w:highlight w:val="none"/>
          <w:lang w:eastAsia="zh-CN" w:bidi="ar"/>
        </w:rPr>
        <w:t>一是</w:t>
      </w:r>
      <w:r>
        <w:rPr>
          <w:rFonts w:hint="default" w:ascii="Times New Roman" w:hAnsi="Times New Roman" w:eastAsia="仿宋_GB2312" w:cs="Times New Roman"/>
          <w:b w:val="0"/>
          <w:bCs w:val="0"/>
          <w:color w:val="auto"/>
          <w:kern w:val="0"/>
          <w:sz w:val="32"/>
          <w:szCs w:val="32"/>
          <w:highlight w:val="none"/>
          <w:lang w:val="en-US" w:eastAsia="zh-CN"/>
        </w:rPr>
        <w:t>认真落实和执行</w:t>
      </w:r>
      <w:r>
        <w:rPr>
          <w:rFonts w:hint="default" w:ascii="Times New Roman" w:hAnsi="Times New Roman" w:eastAsia="仿宋_GB2312" w:cs="Times New Roman"/>
          <w:i w:val="0"/>
          <w:iCs w:val="0"/>
          <w:caps w:val="0"/>
          <w:color w:val="auto"/>
          <w:spacing w:val="0"/>
          <w:kern w:val="0"/>
          <w:sz w:val="32"/>
          <w:szCs w:val="32"/>
          <w:highlight w:val="none"/>
          <w:shd w:val="clear" w:color="auto" w:fill="FFFFFF"/>
        </w:rPr>
        <w:t>《财政部 国家卫生健康委 国家医保局 国家中医药局 国家疾控局关于修订基本公共卫生服务等5项补助资金管理办法的通知》（财社〔2022〕31号）</w:t>
      </w: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eastAsia="zh-CN"/>
        </w:rPr>
        <w:t>、</w:t>
      </w:r>
      <w:r>
        <w:rPr>
          <w:rFonts w:hint="default" w:ascii="Times New Roman" w:hAnsi="Times New Roman" w:eastAsia="仿宋_GB2312" w:cs="Times New Roman"/>
          <w:color w:val="auto"/>
          <w:kern w:val="0"/>
          <w:sz w:val="32"/>
          <w:szCs w:val="32"/>
          <w:highlight w:val="none"/>
          <w:lang w:val="en-US" w:eastAsia="zh-CN"/>
        </w:rPr>
        <w:t>《广东省卫生计生委办公室关于加强基层医疗卫生机构实施国家基本药物制度中央和省级补助资金管理有关工作通知》（粤卫办函〔2017〕95号）</w:t>
      </w:r>
      <w:r>
        <w:rPr>
          <w:rFonts w:hint="default" w:ascii="Times New Roman" w:hAnsi="Times New Roman" w:eastAsia="仿宋_GB2312" w:cs="Times New Roman"/>
          <w:b w:val="0"/>
          <w:bCs w:val="0"/>
          <w:color w:val="auto"/>
          <w:spacing w:val="0"/>
          <w:kern w:val="0"/>
          <w:sz w:val="32"/>
          <w:szCs w:val="32"/>
          <w:highlight w:val="none"/>
          <w:lang w:val="en-US" w:eastAsia="zh-CN" w:bidi="ar-SA"/>
        </w:rPr>
        <w:t>以及</w:t>
      </w:r>
      <w:r>
        <w:rPr>
          <w:rFonts w:hint="default" w:ascii="Times New Roman" w:hAnsi="Times New Roman" w:eastAsia="仿宋_GB2312" w:cs="Times New Roman"/>
          <w:color w:val="auto"/>
          <w:kern w:val="0"/>
          <w:sz w:val="32"/>
          <w:szCs w:val="32"/>
          <w:highlight w:val="none"/>
          <w:lang w:val="en-US" w:eastAsia="zh-CN"/>
        </w:rPr>
        <w:t>《广东省卫生计生委办公室关于印发广东省基层医疗卫生机构实施国家基本药物制度中央和省级补助资金工作方案的通知》（粤卫办函〔2017〕155号）、《广东省卫生健康委 广东省发展改革委 广东省工业和信息化厅 广东省财政厅 广东省医保局 广东省药监局关于贯彻落实国家基本药物制度的实施意见》（粤卫〔2019〕69号）、《广东省卫生健康委等五部门关于印发整体推进国家基本药物制度实施方案的通知》（粤卫函〔2019〕818号）、《广东省卫生健康委办公室关于进一步推进村卫生站实施基本药物制度的通知》（粤卫办函〔2019〕22号）、《广东省财政厅、广东省卫生健康委关于印发广东省基本药物制度补助资金管理实施细则的通知》（粤财社〔2021〕79号）、《广东省卫生健康委办公室关于印发2022年中央财政基层医疗卫生机构实施基本药物制度补助资金项目任务清单的通知》《关于做好2022年广东省基本药物补助资金绩效运行工作的通知》《关于做好2022年实施国家基本药物制度补助项目绩效目标执行监控工作的通知》</w:t>
      </w:r>
      <w:r>
        <w:rPr>
          <w:rFonts w:hint="default" w:ascii="Times New Roman" w:hAnsi="Times New Roman" w:eastAsia="仿宋_GB2312" w:cs="Times New Roman"/>
          <w:color w:val="auto"/>
          <w:kern w:val="0"/>
          <w:sz w:val="32"/>
          <w:szCs w:val="32"/>
          <w:highlight w:val="none"/>
          <w:shd w:val="clear" w:color="auto" w:fill="FFFFFF"/>
          <w:lang w:val="en-US" w:eastAsia="zh-CN"/>
        </w:rPr>
        <w:t>等文件规定</w:t>
      </w:r>
      <w:r>
        <w:rPr>
          <w:rFonts w:hint="default" w:ascii="Times New Roman" w:hAnsi="Times New Roman" w:eastAsia="仿宋_GB2312" w:cs="Times New Roman"/>
          <w:b w:val="0"/>
          <w:bCs w:val="0"/>
          <w:color w:val="auto"/>
          <w:kern w:val="0"/>
          <w:sz w:val="32"/>
          <w:szCs w:val="32"/>
          <w:highlight w:val="none"/>
          <w:lang w:val="en-US" w:eastAsia="zh-CN"/>
        </w:rPr>
        <w:t>，严格按照核定的</w:t>
      </w:r>
      <w:r>
        <w:rPr>
          <w:rFonts w:hint="default" w:ascii="Times New Roman" w:hAnsi="Times New Roman" w:eastAsia="仿宋_GB2312" w:cs="Times New Roman"/>
          <w:b w:val="0"/>
          <w:bCs w:val="0"/>
          <w:color w:val="auto"/>
          <w:kern w:val="0"/>
          <w:sz w:val="32"/>
          <w:szCs w:val="32"/>
          <w:highlight w:val="none"/>
        </w:rPr>
        <w:t>支出范国、支出用途</w:t>
      </w:r>
      <w:r>
        <w:rPr>
          <w:rFonts w:hint="default" w:ascii="Times New Roman" w:hAnsi="Times New Roman" w:eastAsia="仿宋_GB2312" w:cs="Times New Roman"/>
          <w:b w:val="0"/>
          <w:bCs w:val="0"/>
          <w:color w:val="auto"/>
          <w:kern w:val="0"/>
          <w:sz w:val="32"/>
          <w:szCs w:val="32"/>
          <w:highlight w:val="none"/>
          <w:lang w:eastAsia="zh-CN"/>
        </w:rPr>
        <w:t>、</w:t>
      </w:r>
      <w:r>
        <w:rPr>
          <w:rFonts w:hint="default" w:ascii="Times New Roman" w:hAnsi="Times New Roman" w:eastAsia="仿宋_GB2312" w:cs="Times New Roman"/>
          <w:b w:val="0"/>
          <w:bCs w:val="0"/>
          <w:color w:val="auto"/>
          <w:kern w:val="0"/>
          <w:sz w:val="32"/>
          <w:szCs w:val="32"/>
          <w:highlight w:val="none"/>
          <w:lang w:val="en-US" w:eastAsia="zh-CN"/>
        </w:rPr>
        <w:t>支出管理办法及实施方案使用资金</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b w:val="0"/>
          <w:bCs w:val="0"/>
          <w:color w:val="auto"/>
          <w:kern w:val="0"/>
          <w:sz w:val="32"/>
          <w:szCs w:val="32"/>
          <w:highlight w:val="none"/>
          <w:lang w:val="en-US" w:eastAsia="zh-CN"/>
        </w:rPr>
        <w:t>涉及政府采购的，严格按照政府采购有关法律法规及制度执行，</w:t>
      </w: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rPr>
        <w:t>确保</w:t>
      </w:r>
      <w:r>
        <w:rPr>
          <w:rFonts w:hint="default" w:ascii="Times New Roman" w:hAnsi="Times New Roman" w:eastAsia="仿宋_GB2312" w:cs="Times New Roman"/>
          <w:i w:val="0"/>
          <w:iCs w:val="0"/>
          <w:caps w:val="0"/>
          <w:color w:val="auto"/>
          <w:spacing w:val="0"/>
          <w:kern w:val="0"/>
          <w:sz w:val="32"/>
          <w:szCs w:val="32"/>
          <w:highlight w:val="none"/>
          <w:shd w:val="clear" w:color="auto" w:fill="FFFFFF"/>
        </w:rPr>
        <w:t>管好用好</w:t>
      </w: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rPr>
        <w:t>转移支付</w:t>
      </w:r>
      <w:r>
        <w:rPr>
          <w:rFonts w:hint="default" w:ascii="Times New Roman" w:hAnsi="Times New Roman" w:eastAsia="仿宋_GB2312" w:cs="Times New Roman"/>
          <w:i w:val="0"/>
          <w:iCs w:val="0"/>
          <w:caps w:val="0"/>
          <w:color w:val="auto"/>
          <w:spacing w:val="0"/>
          <w:kern w:val="0"/>
          <w:sz w:val="32"/>
          <w:szCs w:val="32"/>
          <w:highlight w:val="none"/>
          <w:shd w:val="clear" w:color="auto" w:fill="FFFFFF"/>
        </w:rPr>
        <w:t>资金</w:t>
      </w:r>
      <w:r>
        <w:rPr>
          <w:rFonts w:hint="default" w:ascii="Times New Roman" w:hAnsi="Times New Roman" w:eastAsia="仿宋_GB2312" w:cs="Times New Roman"/>
          <w:b w:val="0"/>
          <w:bCs w:val="0"/>
          <w:color w:val="auto"/>
          <w:kern w:val="0"/>
          <w:sz w:val="32"/>
          <w:szCs w:val="32"/>
          <w:highlight w:val="none"/>
          <w:lang w:val="en-US" w:eastAsia="zh-CN"/>
        </w:rPr>
        <w:t>。</w:t>
      </w:r>
      <w:r>
        <w:rPr>
          <w:rFonts w:hint="default" w:ascii="Times New Roman" w:hAnsi="Times New Roman" w:eastAsia="仿宋_GB2312" w:cs="Times New Roman"/>
          <w:b/>
          <w:bCs/>
          <w:color w:val="auto"/>
          <w:kern w:val="0"/>
          <w:sz w:val="32"/>
          <w:szCs w:val="32"/>
          <w:highlight w:val="none"/>
          <w:lang w:val="en-US" w:eastAsia="zh-CN"/>
        </w:rPr>
        <w:t>二是</w:t>
      </w:r>
      <w:r>
        <w:rPr>
          <w:rFonts w:hint="default" w:ascii="Times New Roman" w:hAnsi="Times New Roman" w:eastAsia="仿宋_GB2312" w:cs="Times New Roman"/>
          <w:b w:val="0"/>
          <w:bCs w:val="0"/>
          <w:color w:val="auto"/>
          <w:kern w:val="0"/>
          <w:sz w:val="32"/>
          <w:szCs w:val="32"/>
          <w:highlight w:val="none"/>
          <w:lang w:val="en-US" w:eastAsia="zh-CN"/>
        </w:rPr>
        <w:t>加强会计核算工作。全部中央转移支付资金实行专款专用、专账核算，真实全面反映预算执行情况和财务信息</w:t>
      </w:r>
      <w:r>
        <w:rPr>
          <w:rFonts w:hint="default" w:ascii="Times New Roman" w:hAnsi="Times New Roman" w:eastAsia="仿宋_GB2312" w:cs="Times New Roman"/>
          <w:b w:val="0"/>
          <w:bCs w:val="0"/>
          <w:color w:val="auto"/>
          <w:kern w:val="0"/>
          <w:sz w:val="32"/>
          <w:szCs w:val="32"/>
          <w:highlight w:val="none"/>
          <w:lang w:eastAsia="zh-CN"/>
        </w:rPr>
        <w:t>。</w:t>
      </w:r>
      <w:r>
        <w:rPr>
          <w:rFonts w:hint="default" w:ascii="Times New Roman" w:hAnsi="Times New Roman" w:eastAsia="仿宋_GB2312" w:cs="Times New Roman"/>
          <w:b/>
          <w:bCs/>
          <w:color w:val="auto"/>
          <w:kern w:val="0"/>
          <w:sz w:val="32"/>
          <w:szCs w:val="32"/>
          <w:highlight w:val="none"/>
          <w:lang w:val="en-US" w:eastAsia="zh-CN"/>
        </w:rPr>
        <w:t>三是</w:t>
      </w:r>
      <w:r>
        <w:rPr>
          <w:rFonts w:hint="default" w:ascii="Times New Roman" w:hAnsi="Times New Roman" w:eastAsia="仿宋_GB2312" w:cs="Times New Roman"/>
          <w:b w:val="0"/>
          <w:bCs w:val="0"/>
          <w:color w:val="auto"/>
          <w:kern w:val="0"/>
          <w:sz w:val="32"/>
          <w:szCs w:val="32"/>
          <w:highlight w:val="none"/>
          <w:lang w:val="en-US" w:eastAsia="zh-CN"/>
        </w:rPr>
        <w:t>加强监督管理。一方面，依托</w:t>
      </w:r>
      <w:r>
        <w:rPr>
          <w:rFonts w:hint="default" w:ascii="Times New Roman" w:hAnsi="Times New Roman" w:cs="Times New Roman"/>
          <w:b w:val="0"/>
          <w:bCs w:val="0"/>
          <w:color w:val="auto"/>
          <w:kern w:val="0"/>
          <w:sz w:val="32"/>
          <w:szCs w:val="32"/>
          <w:highlight w:val="none"/>
          <w:lang w:val="en-US" w:eastAsia="zh-CN"/>
        </w:rPr>
        <w:t>省财政</w:t>
      </w:r>
      <w:r>
        <w:rPr>
          <w:rFonts w:hint="default" w:ascii="Times New Roman" w:hAnsi="Times New Roman" w:eastAsia="仿宋_GB2312" w:cs="Times New Roman"/>
          <w:b w:val="0"/>
          <w:bCs w:val="0"/>
          <w:color w:val="auto"/>
          <w:kern w:val="0"/>
          <w:sz w:val="32"/>
          <w:szCs w:val="32"/>
          <w:highlight w:val="none"/>
          <w:lang w:val="en-US" w:eastAsia="zh-CN"/>
        </w:rPr>
        <w:t>资金</w:t>
      </w:r>
      <w:r>
        <w:rPr>
          <w:rFonts w:hint="default" w:ascii="Times New Roman" w:hAnsi="Times New Roman" w:cs="Times New Roman"/>
          <w:b w:val="0"/>
          <w:bCs w:val="0"/>
          <w:color w:val="auto"/>
          <w:kern w:val="0"/>
          <w:sz w:val="32"/>
          <w:szCs w:val="32"/>
          <w:highlight w:val="none"/>
          <w:lang w:val="en-US" w:eastAsia="zh-CN"/>
        </w:rPr>
        <w:t>“双</w:t>
      </w:r>
      <w:r>
        <w:rPr>
          <w:rFonts w:hint="default" w:ascii="Times New Roman" w:hAnsi="Times New Roman" w:eastAsia="仿宋_GB2312" w:cs="Times New Roman"/>
          <w:b w:val="0"/>
          <w:bCs w:val="0"/>
          <w:color w:val="auto"/>
          <w:kern w:val="0"/>
          <w:sz w:val="32"/>
          <w:szCs w:val="32"/>
          <w:highlight w:val="none"/>
          <w:lang w:val="en-US" w:eastAsia="zh-CN"/>
        </w:rPr>
        <w:t>监控</w:t>
      </w:r>
      <w:r>
        <w:rPr>
          <w:rFonts w:hint="default" w:ascii="Times New Roman" w:hAnsi="Times New Roman" w:cs="Times New Roman"/>
          <w:b w:val="0"/>
          <w:bCs w:val="0"/>
          <w:color w:val="auto"/>
          <w:kern w:val="0"/>
          <w:sz w:val="32"/>
          <w:szCs w:val="32"/>
          <w:highlight w:val="none"/>
          <w:lang w:val="en-US" w:eastAsia="zh-CN"/>
        </w:rPr>
        <w:t>”</w:t>
      </w:r>
      <w:r>
        <w:rPr>
          <w:rFonts w:hint="default" w:ascii="Times New Roman" w:hAnsi="Times New Roman" w:eastAsia="仿宋_GB2312" w:cs="Times New Roman"/>
          <w:b w:val="0"/>
          <w:bCs w:val="0"/>
          <w:color w:val="auto"/>
          <w:kern w:val="0"/>
          <w:sz w:val="32"/>
          <w:szCs w:val="32"/>
          <w:highlight w:val="none"/>
          <w:lang w:val="en-US" w:eastAsia="zh-CN"/>
        </w:rPr>
        <w:t>系统实施常态化监督，紧盯资金流向和具体支出情况；另一方面，通过审计、财政监督、检查督导、绩效评价等方式强化资金使用规范性检查，对发现的问题，要求各地各单位全面组织自查，省卫生健康委主管处室负责重点核查，并及时采取有效措施纠偏纠错，确保资金使用合法合规有效；</w:t>
      </w:r>
      <w:r>
        <w:rPr>
          <w:rFonts w:hint="default" w:ascii="Times New Roman" w:hAnsi="Times New Roman" w:eastAsia="仿宋_GB2312" w:cs="Times New Roman"/>
          <w:b/>
          <w:bCs/>
          <w:color w:val="auto"/>
          <w:kern w:val="0"/>
          <w:sz w:val="32"/>
          <w:szCs w:val="32"/>
          <w:highlight w:val="none"/>
          <w:lang w:val="en-US" w:eastAsia="zh-CN"/>
        </w:rPr>
        <w:t>四是</w:t>
      </w:r>
      <w:r>
        <w:rPr>
          <w:rFonts w:hint="default" w:ascii="Times New Roman" w:hAnsi="Times New Roman" w:eastAsia="仿宋_GB2312" w:cs="Times New Roman"/>
          <w:color w:val="auto"/>
          <w:kern w:val="0"/>
          <w:sz w:val="32"/>
          <w:szCs w:val="32"/>
          <w:highlight w:val="none"/>
          <w:lang w:val="en-US" w:eastAsia="zh-CN"/>
        </w:rPr>
        <w:t>积极开展专项资金使用情况实地调研。2022年10月18日至22日，分别赴茂名、云浮、肇庆、阳江开展医疗机构用药安全管理调研，强化医疗机构药事管理。此外，还抽查茂名、云浮和肇庆等3个地市12家医疗机构的资金使用情况。经审核各地各</w:t>
      </w:r>
      <w:r>
        <w:rPr>
          <w:rFonts w:hint="default" w:ascii="Times New Roman" w:hAnsi="Times New Roman" w:eastAsia="仿宋_GB2312" w:cs="Times New Roman"/>
          <w:color w:val="auto"/>
          <w:kern w:val="0"/>
          <w:sz w:val="32"/>
          <w:szCs w:val="32"/>
          <w:highlight w:val="none"/>
          <w:lang w:eastAsia="zh-CN"/>
        </w:rPr>
        <w:t>单位</w:t>
      </w:r>
      <w:r>
        <w:rPr>
          <w:rFonts w:hint="default" w:ascii="Times New Roman" w:hAnsi="Times New Roman" w:eastAsia="仿宋_GB2312" w:cs="Times New Roman"/>
          <w:color w:val="auto"/>
          <w:kern w:val="0"/>
          <w:sz w:val="32"/>
          <w:szCs w:val="32"/>
          <w:highlight w:val="none"/>
        </w:rPr>
        <w:t>材料，</w:t>
      </w:r>
      <w:r>
        <w:rPr>
          <w:rFonts w:hint="default" w:ascii="Times New Roman" w:hAnsi="Times New Roman" w:eastAsia="仿宋_GB2312" w:cs="Times New Roman"/>
          <w:color w:val="auto"/>
          <w:kern w:val="0"/>
          <w:sz w:val="32"/>
          <w:szCs w:val="32"/>
          <w:highlight w:val="none"/>
          <w:lang w:eastAsia="zh-CN"/>
        </w:rPr>
        <w:t>各</w:t>
      </w:r>
      <w:r>
        <w:rPr>
          <w:rFonts w:hint="default" w:ascii="Times New Roman" w:hAnsi="Times New Roman" w:eastAsia="仿宋_GB2312" w:cs="Times New Roman"/>
          <w:b w:val="0"/>
          <w:bCs w:val="0"/>
          <w:i w:val="0"/>
          <w:caps w:val="0"/>
          <w:color w:val="auto"/>
          <w:spacing w:val="0"/>
          <w:kern w:val="0"/>
          <w:sz w:val="32"/>
          <w:szCs w:val="32"/>
          <w:highlight w:val="none"/>
          <w:shd w:val="clear" w:color="auto" w:fill="FFFFFF"/>
          <w:lang w:val="en-US" w:eastAsia="zh-CN"/>
        </w:rPr>
        <w:t>地和有关单位</w:t>
      </w:r>
      <w:r>
        <w:rPr>
          <w:rFonts w:hint="default" w:ascii="Times New Roman" w:hAnsi="Times New Roman" w:eastAsia="仿宋_GB2312" w:cs="Times New Roman"/>
          <w:color w:val="auto"/>
          <w:kern w:val="0"/>
          <w:sz w:val="32"/>
          <w:szCs w:val="32"/>
          <w:highlight w:val="none"/>
          <w:lang w:eastAsia="zh-CN"/>
        </w:rPr>
        <w:t>资金</w:t>
      </w:r>
      <w:r>
        <w:rPr>
          <w:rFonts w:hint="default" w:ascii="Times New Roman" w:hAnsi="Times New Roman" w:eastAsia="仿宋_GB2312" w:cs="Times New Roman"/>
          <w:color w:val="auto"/>
          <w:kern w:val="0"/>
          <w:sz w:val="32"/>
          <w:szCs w:val="32"/>
          <w:highlight w:val="none"/>
          <w:lang w:val="en-US" w:eastAsia="zh-CN"/>
        </w:rPr>
        <w:t>管理</w:t>
      </w:r>
      <w:r>
        <w:rPr>
          <w:rFonts w:hint="default" w:ascii="Times New Roman" w:hAnsi="Times New Roman" w:eastAsia="仿宋_GB2312" w:cs="Times New Roman"/>
          <w:color w:val="auto"/>
          <w:kern w:val="0"/>
          <w:sz w:val="32"/>
          <w:szCs w:val="32"/>
          <w:highlight w:val="none"/>
          <w:lang w:eastAsia="zh-CN"/>
        </w:rPr>
        <w:t>制度执行良好</w:t>
      </w:r>
      <w:r>
        <w:rPr>
          <w:rFonts w:hint="default" w:ascii="Times New Roman" w:hAnsi="Times New Roman" w:eastAsia="仿宋_GB2312" w:cs="Times New Roman"/>
          <w:color w:val="auto"/>
          <w:kern w:val="0"/>
          <w:sz w:val="32"/>
          <w:szCs w:val="32"/>
          <w:highlight w:val="none"/>
        </w:rPr>
        <w:t>，会计核算</w:t>
      </w:r>
      <w:r>
        <w:rPr>
          <w:rFonts w:hint="default" w:ascii="Times New Roman" w:hAnsi="Times New Roman" w:eastAsia="仿宋_GB2312" w:cs="Times New Roman"/>
          <w:color w:val="auto"/>
          <w:kern w:val="0"/>
          <w:sz w:val="32"/>
          <w:szCs w:val="32"/>
          <w:highlight w:val="none"/>
          <w:lang w:eastAsia="zh-CN"/>
        </w:rPr>
        <w:t>相对规范</w:t>
      </w:r>
      <w:r>
        <w:rPr>
          <w:rFonts w:hint="default" w:ascii="Times New Roman" w:hAnsi="Times New Roman" w:eastAsia="仿宋_GB2312" w:cs="Times New Roman"/>
          <w:b w:val="0"/>
          <w:bCs w:val="0"/>
          <w:color w:val="auto"/>
          <w:kern w:val="0"/>
          <w:sz w:val="32"/>
          <w:szCs w:val="32"/>
          <w:highlight w:val="none"/>
          <w:lang w:val="en-US" w:eastAsia="zh-CN" w:bidi="ar"/>
        </w:rPr>
        <w:t>，</w:t>
      </w:r>
      <w:r>
        <w:rPr>
          <w:rFonts w:hint="default" w:ascii="Times New Roman" w:hAnsi="Times New Roman" w:eastAsia="仿宋_GB2312" w:cs="Times New Roman"/>
          <w:b w:val="0"/>
          <w:bCs w:val="0"/>
          <w:color w:val="auto"/>
          <w:kern w:val="0"/>
          <w:sz w:val="32"/>
          <w:szCs w:val="32"/>
          <w:highlight w:val="none"/>
        </w:rPr>
        <w:t>严格按照下达预算的科目和项目执行，未</w:t>
      </w:r>
      <w:r>
        <w:rPr>
          <w:rFonts w:hint="eastAsia" w:ascii="Times New Roman" w:hAnsi="Times New Roman" w:cs="Times New Roman"/>
          <w:b w:val="0"/>
          <w:bCs w:val="0"/>
          <w:color w:val="auto"/>
          <w:kern w:val="0"/>
          <w:sz w:val="32"/>
          <w:szCs w:val="32"/>
          <w:highlight w:val="none"/>
          <w:lang w:eastAsia="zh-CN"/>
        </w:rPr>
        <w:t>发现</w:t>
      </w:r>
      <w:r>
        <w:rPr>
          <w:rFonts w:hint="default" w:ascii="Times New Roman" w:hAnsi="Times New Roman" w:eastAsia="仿宋_GB2312" w:cs="Times New Roman"/>
          <w:b w:val="0"/>
          <w:bCs w:val="0"/>
          <w:color w:val="auto"/>
          <w:kern w:val="0"/>
          <w:sz w:val="32"/>
          <w:szCs w:val="32"/>
          <w:highlight w:val="none"/>
        </w:rPr>
        <w:t>截留、挤占、挪用或擅自调整等问题</w:t>
      </w:r>
      <w:r>
        <w:rPr>
          <w:rFonts w:hint="default" w:ascii="Times New Roman" w:hAnsi="Times New Roman" w:eastAsia="仿宋_GB2312" w:cs="Times New Roman"/>
          <w:b w:val="0"/>
          <w:bCs w:val="0"/>
          <w:color w:val="auto"/>
          <w:kern w:val="0"/>
          <w:sz w:val="32"/>
          <w:szCs w:val="32"/>
          <w:highlight w:val="none"/>
          <w:lang w:eastAsia="zh-CN"/>
        </w:rPr>
        <w:t>，</w:t>
      </w:r>
      <w:r>
        <w:rPr>
          <w:rFonts w:hint="default" w:ascii="Times New Roman" w:hAnsi="Times New Roman" w:eastAsia="仿宋_GB2312" w:cs="Times New Roman"/>
          <w:b w:val="0"/>
          <w:bCs w:val="0"/>
          <w:color w:val="auto"/>
          <w:kern w:val="0"/>
          <w:sz w:val="32"/>
          <w:szCs w:val="32"/>
          <w:highlight w:val="none"/>
        </w:rPr>
        <w:t>使用规范性</w:t>
      </w:r>
      <w:r>
        <w:rPr>
          <w:rFonts w:hint="default" w:ascii="Times New Roman" w:hAnsi="Times New Roman" w:eastAsia="仿宋_GB2312" w:cs="Times New Roman"/>
          <w:b w:val="0"/>
          <w:bCs w:val="0"/>
          <w:color w:val="auto"/>
          <w:kern w:val="0"/>
          <w:sz w:val="32"/>
          <w:szCs w:val="32"/>
          <w:highlight w:val="none"/>
          <w:lang w:val="en-US" w:eastAsia="zh-CN"/>
        </w:rPr>
        <w:t>100%</w:t>
      </w:r>
      <w:r>
        <w:rPr>
          <w:rFonts w:hint="default" w:ascii="Times New Roman" w:hAnsi="Times New Roman" w:eastAsia="仿宋_GB2312" w:cs="Times New Roman"/>
          <w:b w:val="0"/>
          <w:bCs w:val="0"/>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0"/>
        <w:rPr>
          <w:rFonts w:hint="default" w:ascii="Times New Roman" w:hAnsi="Times New Roman" w:eastAsia="仿宋_GB2312" w:cs="Times New Roman"/>
          <w:b w:val="0"/>
          <w:bCs w:val="0"/>
          <w:i w:val="0"/>
          <w:iCs w:val="0"/>
          <w:snapToGrid w:val="0"/>
          <w:color w:val="auto"/>
          <w:kern w:val="0"/>
          <w:sz w:val="32"/>
          <w:szCs w:val="32"/>
          <w:highlight w:val="none"/>
          <w:u w:val="none"/>
          <w:lang w:val="en-US" w:eastAsia="zh-CN" w:bidi="ar"/>
        </w:rPr>
      </w:pPr>
      <w:r>
        <w:rPr>
          <w:rFonts w:hint="default" w:ascii="Times New Roman" w:hAnsi="Times New Roman" w:eastAsia="仿宋_GB2312" w:cs="Times New Roman"/>
          <w:b/>
          <w:bCs/>
          <w:snapToGrid w:val="0"/>
          <w:color w:val="auto"/>
          <w:kern w:val="0"/>
          <w:sz w:val="32"/>
          <w:szCs w:val="32"/>
          <w:highlight w:val="none"/>
          <w:lang w:val="en-US" w:eastAsia="zh-CN" w:bidi="ar"/>
        </w:rPr>
        <w:t>5</w:t>
      </w:r>
      <w:r>
        <w:rPr>
          <w:rFonts w:hint="eastAsia" w:ascii="仿宋_GB2312" w:hAnsi="仿宋_GB2312" w:eastAsia="仿宋_GB2312" w:cs="仿宋_GB2312"/>
          <w:b/>
          <w:bCs/>
          <w:snapToGrid w:val="0"/>
          <w:color w:val="auto"/>
          <w:kern w:val="0"/>
          <w:sz w:val="32"/>
          <w:szCs w:val="32"/>
          <w:highlight w:val="none"/>
          <w:lang w:bidi="ar"/>
        </w:rPr>
        <w:t>.执</w:t>
      </w:r>
      <w:r>
        <w:rPr>
          <w:rFonts w:hint="default" w:ascii="Times New Roman" w:hAnsi="Times New Roman" w:eastAsia="仿宋_GB2312" w:cs="Times New Roman"/>
          <w:b/>
          <w:bCs/>
          <w:snapToGrid w:val="0"/>
          <w:color w:val="auto"/>
          <w:kern w:val="0"/>
          <w:sz w:val="32"/>
          <w:szCs w:val="32"/>
          <w:highlight w:val="none"/>
          <w:lang w:bidi="ar"/>
        </w:rPr>
        <w:t>行准确性。</w:t>
      </w:r>
      <w:r>
        <w:rPr>
          <w:rFonts w:hint="default" w:ascii="Times New Roman" w:hAnsi="Times New Roman" w:eastAsia="仿宋_GB2312" w:cs="Times New Roman"/>
          <w:b w:val="0"/>
          <w:bCs w:val="0"/>
          <w:snapToGrid w:val="0"/>
          <w:color w:val="auto"/>
          <w:kern w:val="0"/>
          <w:sz w:val="32"/>
          <w:szCs w:val="32"/>
          <w:highlight w:val="none"/>
          <w:lang w:val="en-US" w:eastAsia="zh-CN"/>
        </w:rPr>
        <w:t>我省各级严格</w:t>
      </w:r>
      <w:r>
        <w:rPr>
          <w:rFonts w:hint="default" w:ascii="Times New Roman" w:hAnsi="Times New Roman" w:eastAsia="仿宋_GB2312" w:cs="Times New Roman"/>
          <w:b w:val="0"/>
          <w:bCs w:val="0"/>
          <w:snapToGrid w:val="0"/>
          <w:color w:val="auto"/>
          <w:kern w:val="0"/>
          <w:sz w:val="32"/>
          <w:szCs w:val="32"/>
          <w:highlight w:val="none"/>
        </w:rPr>
        <w:t>按照</w:t>
      </w:r>
      <w:r>
        <w:rPr>
          <w:rFonts w:hint="default" w:ascii="Times New Roman" w:hAnsi="Times New Roman" w:eastAsia="仿宋_GB2312" w:cs="Times New Roman"/>
          <w:b w:val="0"/>
          <w:bCs w:val="0"/>
          <w:snapToGrid w:val="0"/>
          <w:color w:val="auto"/>
          <w:kern w:val="0"/>
          <w:sz w:val="32"/>
          <w:szCs w:val="32"/>
          <w:highlight w:val="none"/>
          <w:lang w:val="en-US" w:eastAsia="zh-CN"/>
        </w:rPr>
        <w:t>中央</w:t>
      </w:r>
      <w:r>
        <w:rPr>
          <w:rFonts w:hint="default" w:ascii="Times New Roman" w:hAnsi="Times New Roman" w:eastAsia="仿宋_GB2312" w:cs="Times New Roman"/>
          <w:b w:val="0"/>
          <w:bCs w:val="0"/>
          <w:snapToGrid w:val="0"/>
          <w:color w:val="auto"/>
          <w:kern w:val="0"/>
          <w:sz w:val="32"/>
          <w:szCs w:val="32"/>
          <w:highlight w:val="none"/>
        </w:rPr>
        <w:t>下达</w:t>
      </w:r>
      <w:r>
        <w:rPr>
          <w:rFonts w:hint="default" w:ascii="Times New Roman" w:hAnsi="Times New Roman" w:eastAsia="仿宋_GB2312" w:cs="Times New Roman"/>
          <w:b w:val="0"/>
          <w:bCs w:val="0"/>
          <w:snapToGrid w:val="0"/>
          <w:color w:val="auto"/>
          <w:kern w:val="0"/>
          <w:sz w:val="32"/>
          <w:szCs w:val="32"/>
          <w:highlight w:val="none"/>
          <w:lang w:val="en-US" w:eastAsia="zh-CN"/>
        </w:rPr>
        <w:t>和本级预算</w:t>
      </w:r>
      <w:r>
        <w:rPr>
          <w:rFonts w:hint="default" w:ascii="Times New Roman" w:hAnsi="Times New Roman" w:eastAsia="仿宋_GB2312" w:cs="Times New Roman"/>
          <w:b w:val="0"/>
          <w:bCs w:val="0"/>
          <w:snapToGrid w:val="0"/>
          <w:color w:val="auto"/>
          <w:kern w:val="0"/>
          <w:sz w:val="32"/>
          <w:szCs w:val="32"/>
          <w:highlight w:val="none"/>
        </w:rPr>
        <w:t>安排</w:t>
      </w:r>
      <w:r>
        <w:rPr>
          <w:rFonts w:hint="default" w:ascii="Times New Roman" w:hAnsi="Times New Roman" w:eastAsia="仿宋_GB2312" w:cs="Times New Roman"/>
          <w:b w:val="0"/>
          <w:bCs w:val="0"/>
          <w:snapToGrid w:val="0"/>
          <w:color w:val="auto"/>
          <w:kern w:val="0"/>
          <w:sz w:val="32"/>
          <w:szCs w:val="32"/>
          <w:highlight w:val="none"/>
          <w:lang w:val="en-US" w:eastAsia="zh-CN"/>
        </w:rPr>
        <w:t>的资金</w:t>
      </w:r>
      <w:r>
        <w:rPr>
          <w:rFonts w:hint="default" w:ascii="Times New Roman" w:hAnsi="Times New Roman" w:eastAsia="仿宋_GB2312" w:cs="Times New Roman"/>
          <w:b w:val="0"/>
          <w:bCs w:val="0"/>
          <w:snapToGrid w:val="0"/>
          <w:color w:val="auto"/>
          <w:kern w:val="0"/>
          <w:sz w:val="32"/>
          <w:szCs w:val="32"/>
          <w:highlight w:val="none"/>
        </w:rPr>
        <w:t>执行</w:t>
      </w:r>
      <w:r>
        <w:rPr>
          <w:rFonts w:hint="default" w:ascii="Times New Roman" w:hAnsi="Times New Roman" w:eastAsia="仿宋_GB2312" w:cs="Times New Roman"/>
          <w:snapToGrid w:val="0"/>
          <w:color w:val="auto"/>
          <w:spacing w:val="0"/>
          <w:kern w:val="0"/>
          <w:sz w:val="32"/>
          <w:szCs w:val="32"/>
          <w:highlight w:val="none"/>
          <w:lang w:val="en-US" w:eastAsia="zh-CN"/>
        </w:rPr>
        <w:t>。</w:t>
      </w:r>
      <w:r>
        <w:rPr>
          <w:rFonts w:hint="default" w:ascii="Times New Roman" w:hAnsi="Times New Roman" w:eastAsia="仿宋_GB2312" w:cs="Times New Roman"/>
          <w:b w:val="0"/>
          <w:bCs w:val="0"/>
          <w:snapToGrid w:val="0"/>
          <w:color w:val="auto"/>
          <w:kern w:val="0"/>
          <w:sz w:val="32"/>
          <w:szCs w:val="32"/>
          <w:highlight w:val="none"/>
          <w:lang w:val="en-US" w:eastAsia="zh-CN" w:bidi="ar"/>
        </w:rPr>
        <w:t>截止2022年12月31日，</w:t>
      </w:r>
      <w:r>
        <w:rPr>
          <w:rFonts w:hint="default" w:ascii="Times New Roman" w:hAnsi="Times New Roman" w:eastAsia="仿宋_GB2312" w:cs="Times New Roman"/>
          <w:b w:val="0"/>
          <w:bCs w:val="0"/>
          <w:snapToGrid w:val="0"/>
          <w:color w:val="auto"/>
          <w:kern w:val="0"/>
          <w:sz w:val="32"/>
          <w:szCs w:val="32"/>
          <w:highlight w:val="none"/>
          <w:lang w:val="en-US" w:eastAsia="zh-CN"/>
        </w:rPr>
        <w:t>我省2022年度</w:t>
      </w:r>
      <w:r>
        <w:rPr>
          <w:rFonts w:hint="default" w:ascii="Times New Roman" w:hAnsi="Times New Roman" w:eastAsia="仿宋_GB2312" w:cs="Times New Roman"/>
          <w:snapToGrid w:val="0"/>
          <w:color w:val="auto"/>
          <w:kern w:val="0"/>
          <w:sz w:val="32"/>
          <w:szCs w:val="32"/>
          <w:highlight w:val="none"/>
          <w:lang w:val="en-US" w:eastAsia="zh-CN"/>
        </w:rPr>
        <w:t>基本药物制度</w:t>
      </w:r>
      <w:r>
        <w:rPr>
          <w:rFonts w:hint="default" w:ascii="Times New Roman" w:hAnsi="Times New Roman" w:eastAsia="仿宋_GB2312" w:cs="Times New Roman"/>
          <w:b w:val="0"/>
          <w:bCs w:val="0"/>
          <w:snapToGrid w:val="0"/>
          <w:color w:val="auto"/>
          <w:kern w:val="0"/>
          <w:sz w:val="32"/>
          <w:szCs w:val="32"/>
          <w:highlight w:val="none"/>
          <w:lang w:val="en-US" w:eastAsia="zh-CN"/>
        </w:rPr>
        <w:t>中央转移支付</w:t>
      </w:r>
      <w:r>
        <w:rPr>
          <w:rFonts w:hint="default" w:ascii="Times New Roman" w:hAnsi="Times New Roman" w:eastAsia="仿宋_GB2312" w:cs="Times New Roman"/>
          <w:b w:val="0"/>
          <w:bCs w:val="0"/>
          <w:i w:val="0"/>
          <w:iCs w:val="0"/>
          <w:snapToGrid w:val="0"/>
          <w:color w:val="auto"/>
          <w:kern w:val="0"/>
          <w:sz w:val="32"/>
          <w:szCs w:val="32"/>
          <w:highlight w:val="none"/>
          <w:u w:val="none"/>
          <w:lang w:val="en-US" w:eastAsia="zh-CN" w:bidi="ar"/>
        </w:rPr>
        <w:t>预算执行率</w:t>
      </w:r>
      <w:r>
        <w:rPr>
          <w:rFonts w:hint="default" w:ascii="Times New Roman" w:hAnsi="Times New Roman" w:eastAsia="仿宋_GB2312" w:cs="Times New Roman"/>
          <w:snapToGrid w:val="0"/>
          <w:color w:val="auto"/>
          <w:kern w:val="0"/>
          <w:sz w:val="32"/>
          <w:szCs w:val="32"/>
          <w:highlight w:val="none"/>
          <w:lang w:val="en-US" w:eastAsia="zh-CN"/>
        </w:rPr>
        <w:t>83.82%</w:t>
      </w:r>
      <w:r>
        <w:rPr>
          <w:rFonts w:hint="default" w:ascii="Times New Roman" w:hAnsi="Times New Roman" w:eastAsia="仿宋_GB2312" w:cs="Times New Roman"/>
          <w:b w:val="0"/>
          <w:bCs w:val="0"/>
          <w:snapToGrid w:val="0"/>
          <w:color w:val="auto"/>
          <w:kern w:val="0"/>
          <w:sz w:val="32"/>
          <w:szCs w:val="32"/>
          <w:highlight w:val="none"/>
          <w:lang w:val="en-US" w:eastAsia="zh-CN"/>
        </w:rPr>
        <w:t>，中央转移支付结余资金4,064.81万元，结余率16.42%。2022年没有发生预算调整或者项目调整事宜，预算执行准确，</w:t>
      </w:r>
      <w:r>
        <w:rPr>
          <w:rFonts w:hint="default" w:ascii="Times New Roman" w:hAnsi="Times New Roman" w:eastAsia="仿宋_GB2312" w:cs="Times New Roman"/>
          <w:b w:val="0"/>
          <w:bCs w:val="0"/>
          <w:snapToGrid w:val="0"/>
          <w:color w:val="auto"/>
          <w:kern w:val="0"/>
          <w:sz w:val="32"/>
          <w:szCs w:val="32"/>
          <w:highlight w:val="none"/>
        </w:rPr>
        <w:t>不存在执行数偏离预算数较多的问题</w:t>
      </w:r>
      <w:r>
        <w:rPr>
          <w:rFonts w:hint="default" w:ascii="Times New Roman" w:hAnsi="Times New Roman" w:eastAsia="仿宋_GB2312" w:cs="Times New Roman"/>
          <w:b w:val="0"/>
          <w:bCs w:val="0"/>
          <w:snapToGrid w:val="0"/>
          <w:color w:val="auto"/>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0"/>
        <w:rPr>
          <w:rFonts w:hint="default" w:ascii="Times New Roman" w:hAnsi="Times New Roman" w:eastAsia="仿宋_GB2312" w:cs="Times New Roman"/>
          <w:b/>
          <w:bCs/>
          <w:snapToGrid w:val="0"/>
          <w:color w:val="auto"/>
          <w:kern w:val="0"/>
          <w:sz w:val="32"/>
          <w:szCs w:val="32"/>
          <w:highlight w:val="none"/>
          <w:lang w:val="en-US" w:eastAsia="zh-CN"/>
        </w:rPr>
      </w:pPr>
      <w:r>
        <w:rPr>
          <w:rFonts w:hint="default" w:ascii="Times New Roman" w:hAnsi="Times New Roman" w:eastAsia="仿宋_GB2312" w:cs="Times New Roman"/>
          <w:b/>
          <w:bCs/>
          <w:snapToGrid w:val="0"/>
          <w:color w:val="auto"/>
          <w:kern w:val="0"/>
          <w:sz w:val="32"/>
          <w:szCs w:val="32"/>
          <w:highlight w:val="none"/>
          <w:lang w:val="en-US" w:eastAsia="zh-CN" w:bidi="ar"/>
        </w:rPr>
        <w:t>6</w:t>
      </w:r>
      <w:r>
        <w:rPr>
          <w:rFonts w:hint="default" w:ascii="仿宋_GB2312" w:hAnsi="仿宋_GB2312" w:eastAsia="仿宋_GB2312" w:cs="仿宋_GB2312"/>
          <w:b/>
          <w:bCs/>
          <w:snapToGrid w:val="0"/>
          <w:color w:val="auto"/>
          <w:kern w:val="0"/>
          <w:sz w:val="32"/>
          <w:szCs w:val="32"/>
          <w:highlight w:val="none"/>
          <w:lang w:bidi="ar"/>
        </w:rPr>
        <w:t>.预</w:t>
      </w:r>
      <w:r>
        <w:rPr>
          <w:rFonts w:hint="default" w:ascii="Times New Roman" w:hAnsi="Times New Roman" w:eastAsia="仿宋_GB2312" w:cs="Times New Roman"/>
          <w:b/>
          <w:bCs/>
          <w:snapToGrid w:val="0"/>
          <w:color w:val="auto"/>
          <w:kern w:val="0"/>
          <w:sz w:val="32"/>
          <w:szCs w:val="32"/>
          <w:highlight w:val="none"/>
          <w:lang w:bidi="ar"/>
        </w:rPr>
        <w:t>算绩效管理情况。</w:t>
      </w:r>
      <w:r>
        <w:rPr>
          <w:rFonts w:hint="default" w:ascii="Times New Roman" w:hAnsi="Times New Roman" w:eastAsia="仿宋_GB2312" w:cs="Times New Roman"/>
          <w:b/>
          <w:bCs/>
          <w:snapToGrid w:val="0"/>
          <w:color w:val="auto"/>
          <w:kern w:val="0"/>
          <w:sz w:val="32"/>
          <w:szCs w:val="32"/>
          <w:highlight w:val="none"/>
          <w:lang w:val="en-US" w:eastAsia="zh-CN"/>
        </w:rPr>
        <w:t>一是</w:t>
      </w:r>
      <w:r>
        <w:rPr>
          <w:rFonts w:hint="default" w:ascii="Times New Roman" w:hAnsi="Times New Roman" w:eastAsia="仿宋_GB2312" w:cs="Times New Roman"/>
          <w:i w:val="0"/>
          <w:iCs w:val="0"/>
          <w:caps w:val="0"/>
          <w:snapToGrid w:val="0"/>
          <w:color w:val="auto"/>
          <w:spacing w:val="0"/>
          <w:kern w:val="0"/>
          <w:sz w:val="32"/>
          <w:szCs w:val="32"/>
          <w:highlight w:val="none"/>
          <w:shd w:val="clear" w:color="auto" w:fill="FFFFFF"/>
        </w:rPr>
        <w:t>制定出台</w:t>
      </w:r>
      <w:r>
        <w:rPr>
          <w:rFonts w:hint="default" w:ascii="Times New Roman" w:hAnsi="Times New Roman" w:eastAsia="仿宋_GB2312" w:cs="Times New Roman"/>
          <w:i w:val="0"/>
          <w:iCs w:val="0"/>
          <w:caps w:val="0"/>
          <w:snapToGrid w:val="0"/>
          <w:color w:val="auto"/>
          <w:spacing w:val="0"/>
          <w:kern w:val="0"/>
          <w:sz w:val="32"/>
          <w:szCs w:val="32"/>
          <w:highlight w:val="none"/>
          <w:shd w:val="clear" w:color="auto" w:fill="FFFFFF"/>
          <w:lang w:eastAsia="zh-CN"/>
        </w:rPr>
        <w:t>《广东省卫生健康领域全面实施预算绩效管理工作实施方案》</w:t>
      </w:r>
      <w:r>
        <w:rPr>
          <w:rFonts w:hint="default" w:ascii="Times New Roman" w:hAnsi="Times New Roman" w:eastAsia="仿宋_GB2312" w:cs="Times New Roman"/>
          <w:i w:val="0"/>
          <w:iCs w:val="0"/>
          <w:caps w:val="0"/>
          <w:snapToGrid w:val="0"/>
          <w:color w:val="auto"/>
          <w:spacing w:val="0"/>
          <w:kern w:val="0"/>
          <w:sz w:val="32"/>
          <w:szCs w:val="32"/>
          <w:highlight w:val="none"/>
          <w:shd w:val="clear" w:color="auto" w:fill="FFFFFF"/>
        </w:rPr>
        <w:t>《广东省卫生健康委关于印发广东省卫生健康委部门预算绩效管理暂行办法的通知》</w:t>
      </w:r>
      <w:r>
        <w:rPr>
          <w:rFonts w:hint="default" w:ascii="Times New Roman" w:hAnsi="Times New Roman" w:eastAsia="仿宋_GB2312" w:cs="Times New Roman"/>
          <w:i w:val="0"/>
          <w:iCs w:val="0"/>
          <w:caps w:val="0"/>
          <w:snapToGrid w:val="0"/>
          <w:color w:val="auto"/>
          <w:spacing w:val="0"/>
          <w:kern w:val="0"/>
          <w:sz w:val="32"/>
          <w:szCs w:val="32"/>
          <w:highlight w:val="none"/>
          <w:shd w:val="clear" w:color="auto" w:fill="FFFFFF"/>
          <w:lang w:val="en-US" w:eastAsia="zh-CN"/>
        </w:rPr>
        <w:t>等</w:t>
      </w:r>
      <w:r>
        <w:rPr>
          <w:rFonts w:hint="default" w:ascii="Times New Roman" w:hAnsi="Times New Roman" w:cs="Times New Roman"/>
          <w:i w:val="0"/>
          <w:iCs w:val="0"/>
          <w:caps w:val="0"/>
          <w:snapToGrid w:val="0"/>
          <w:color w:val="auto"/>
          <w:spacing w:val="0"/>
          <w:kern w:val="0"/>
          <w:sz w:val="32"/>
          <w:szCs w:val="32"/>
          <w:highlight w:val="none"/>
          <w:shd w:val="clear" w:color="auto" w:fill="FFFFFF"/>
          <w:lang w:val="en-US" w:eastAsia="zh-CN"/>
        </w:rPr>
        <w:t>文件</w:t>
      </w:r>
      <w:r>
        <w:rPr>
          <w:rFonts w:hint="default" w:ascii="Times New Roman" w:hAnsi="Times New Roman" w:eastAsia="仿宋_GB2312" w:cs="Times New Roman"/>
          <w:i w:val="0"/>
          <w:iCs w:val="0"/>
          <w:caps w:val="0"/>
          <w:snapToGrid w:val="0"/>
          <w:color w:val="auto"/>
          <w:spacing w:val="0"/>
          <w:kern w:val="0"/>
          <w:sz w:val="32"/>
          <w:szCs w:val="32"/>
          <w:highlight w:val="none"/>
          <w:shd w:val="clear" w:color="auto" w:fill="FFFFFF"/>
        </w:rPr>
        <w:t>，</w:t>
      </w:r>
      <w:r>
        <w:rPr>
          <w:rFonts w:hint="default" w:ascii="Times New Roman" w:hAnsi="Times New Roman" w:eastAsia="仿宋_GB2312" w:cs="Times New Roman"/>
          <w:i w:val="0"/>
          <w:iCs w:val="0"/>
          <w:caps w:val="0"/>
          <w:snapToGrid w:val="0"/>
          <w:color w:val="auto"/>
          <w:spacing w:val="0"/>
          <w:kern w:val="0"/>
          <w:sz w:val="32"/>
          <w:szCs w:val="32"/>
          <w:highlight w:val="none"/>
          <w:shd w:val="clear" w:color="auto" w:fill="FFFFFF"/>
          <w:lang w:val="en-US" w:eastAsia="zh-CN"/>
        </w:rPr>
        <w:t>全面加强全省</w:t>
      </w:r>
      <w:r>
        <w:rPr>
          <w:rFonts w:hint="default" w:ascii="Times New Roman" w:hAnsi="Times New Roman" w:eastAsia="仿宋_GB2312" w:cs="Times New Roman"/>
          <w:i w:val="0"/>
          <w:iCs w:val="0"/>
          <w:caps w:val="0"/>
          <w:snapToGrid w:val="0"/>
          <w:color w:val="auto"/>
          <w:spacing w:val="0"/>
          <w:kern w:val="0"/>
          <w:sz w:val="32"/>
          <w:szCs w:val="32"/>
          <w:highlight w:val="none"/>
          <w:shd w:val="clear" w:color="auto" w:fill="FFFFFF"/>
          <w:lang w:eastAsia="zh-CN"/>
        </w:rPr>
        <w:t>卫生健康</w:t>
      </w:r>
      <w:r>
        <w:rPr>
          <w:rFonts w:hint="default" w:ascii="Times New Roman" w:hAnsi="Times New Roman" w:eastAsia="仿宋_GB2312" w:cs="Times New Roman"/>
          <w:i w:val="0"/>
          <w:iCs w:val="0"/>
          <w:caps w:val="0"/>
          <w:snapToGrid w:val="0"/>
          <w:color w:val="auto"/>
          <w:spacing w:val="0"/>
          <w:kern w:val="0"/>
          <w:sz w:val="32"/>
          <w:szCs w:val="32"/>
          <w:highlight w:val="none"/>
          <w:shd w:val="clear" w:color="auto" w:fill="FFFFFF"/>
          <w:lang w:val="en-US" w:eastAsia="zh-CN"/>
        </w:rPr>
        <w:t>领域</w:t>
      </w:r>
      <w:r>
        <w:rPr>
          <w:rFonts w:hint="default" w:ascii="Times New Roman" w:hAnsi="Times New Roman" w:eastAsia="仿宋_GB2312" w:cs="Times New Roman"/>
          <w:snapToGrid w:val="0"/>
          <w:color w:val="auto"/>
          <w:kern w:val="0"/>
          <w:sz w:val="32"/>
          <w:szCs w:val="32"/>
          <w:highlight w:val="none"/>
        </w:rPr>
        <w:t>预算绩效管理工作，</w:t>
      </w:r>
      <w:r>
        <w:rPr>
          <w:rFonts w:hint="default" w:ascii="Times New Roman" w:hAnsi="Times New Roman" w:eastAsia="仿宋_GB2312" w:cs="Times New Roman"/>
          <w:i w:val="0"/>
          <w:iCs w:val="0"/>
          <w:caps w:val="0"/>
          <w:snapToGrid w:val="0"/>
          <w:color w:val="auto"/>
          <w:spacing w:val="0"/>
          <w:kern w:val="0"/>
          <w:sz w:val="32"/>
          <w:szCs w:val="32"/>
          <w:highlight w:val="none"/>
          <w:shd w:val="clear" w:color="auto" w:fill="FFFFFF"/>
          <w:lang w:val="en-US" w:eastAsia="zh-CN"/>
        </w:rPr>
        <w:t>形成预算编制有目标、</w:t>
      </w:r>
      <w:r>
        <w:rPr>
          <w:rFonts w:hint="default" w:ascii="Times New Roman" w:hAnsi="Times New Roman" w:eastAsia="仿宋_GB2312" w:cs="Times New Roman"/>
          <w:snapToGrid w:val="0"/>
          <w:color w:val="auto"/>
          <w:kern w:val="0"/>
          <w:sz w:val="32"/>
          <w:szCs w:val="32"/>
          <w:highlight w:val="none"/>
        </w:rPr>
        <w:t>事前</w:t>
      </w:r>
      <w:r>
        <w:rPr>
          <w:rFonts w:hint="default" w:ascii="Times New Roman" w:hAnsi="Times New Roman" w:eastAsia="仿宋_GB2312" w:cs="Times New Roman"/>
          <w:snapToGrid w:val="0"/>
          <w:color w:val="auto"/>
          <w:kern w:val="0"/>
          <w:sz w:val="32"/>
          <w:szCs w:val="32"/>
          <w:highlight w:val="none"/>
          <w:lang w:val="en-US" w:eastAsia="zh-CN"/>
        </w:rPr>
        <w:t>有</w:t>
      </w:r>
      <w:r>
        <w:rPr>
          <w:rFonts w:hint="default" w:ascii="Times New Roman" w:hAnsi="Times New Roman" w:eastAsia="仿宋_GB2312" w:cs="Times New Roman"/>
          <w:snapToGrid w:val="0"/>
          <w:color w:val="auto"/>
          <w:kern w:val="0"/>
          <w:sz w:val="32"/>
          <w:szCs w:val="32"/>
          <w:highlight w:val="none"/>
        </w:rPr>
        <w:t>绩效评估</w:t>
      </w:r>
      <w:r>
        <w:rPr>
          <w:rFonts w:hint="default" w:ascii="Times New Roman" w:hAnsi="Times New Roman" w:eastAsia="仿宋_GB2312" w:cs="Times New Roman"/>
          <w:i w:val="0"/>
          <w:iCs w:val="0"/>
          <w:caps w:val="0"/>
          <w:snapToGrid w:val="0"/>
          <w:color w:val="auto"/>
          <w:spacing w:val="0"/>
          <w:kern w:val="0"/>
          <w:sz w:val="32"/>
          <w:szCs w:val="32"/>
          <w:highlight w:val="none"/>
          <w:shd w:val="clear" w:color="auto" w:fill="FFFFFF"/>
        </w:rPr>
        <w:t>，</w:t>
      </w:r>
      <w:r>
        <w:rPr>
          <w:rFonts w:hint="default" w:ascii="Times New Roman" w:hAnsi="Times New Roman" w:eastAsia="仿宋_GB2312" w:cs="Times New Roman"/>
          <w:i w:val="0"/>
          <w:iCs w:val="0"/>
          <w:caps w:val="0"/>
          <w:snapToGrid w:val="0"/>
          <w:color w:val="auto"/>
          <w:spacing w:val="0"/>
          <w:kern w:val="0"/>
          <w:sz w:val="32"/>
          <w:szCs w:val="32"/>
          <w:highlight w:val="none"/>
          <w:shd w:val="clear" w:color="auto" w:fill="FFFFFF"/>
          <w:lang w:val="en-US" w:eastAsia="zh-CN"/>
        </w:rPr>
        <w:t>绩效运行</w:t>
      </w:r>
      <w:r>
        <w:rPr>
          <w:rFonts w:hint="default" w:ascii="Times New Roman" w:hAnsi="Times New Roman" w:eastAsia="仿宋_GB2312" w:cs="Times New Roman"/>
          <w:i w:val="0"/>
          <w:iCs w:val="0"/>
          <w:caps w:val="0"/>
          <w:snapToGrid w:val="0"/>
          <w:color w:val="auto"/>
          <w:spacing w:val="0"/>
          <w:kern w:val="0"/>
          <w:sz w:val="32"/>
          <w:szCs w:val="32"/>
          <w:highlight w:val="none"/>
          <w:shd w:val="clear" w:color="auto" w:fill="FFFFFF"/>
        </w:rPr>
        <w:t>有监控、</w:t>
      </w:r>
      <w:r>
        <w:rPr>
          <w:rFonts w:hint="default" w:ascii="Times New Roman" w:hAnsi="Times New Roman" w:eastAsia="仿宋_GB2312" w:cs="Times New Roman"/>
          <w:i w:val="0"/>
          <w:iCs w:val="0"/>
          <w:caps w:val="0"/>
          <w:snapToGrid w:val="0"/>
          <w:color w:val="auto"/>
          <w:spacing w:val="0"/>
          <w:kern w:val="0"/>
          <w:sz w:val="32"/>
          <w:szCs w:val="32"/>
          <w:highlight w:val="none"/>
          <w:shd w:val="clear" w:color="auto" w:fill="FFFFFF"/>
          <w:lang w:val="en-US" w:eastAsia="zh-CN"/>
        </w:rPr>
        <w:t>项目结束</w:t>
      </w:r>
      <w:r>
        <w:rPr>
          <w:rFonts w:hint="default" w:ascii="Times New Roman" w:hAnsi="Times New Roman" w:eastAsia="仿宋_GB2312" w:cs="Times New Roman"/>
          <w:i w:val="0"/>
          <w:iCs w:val="0"/>
          <w:caps w:val="0"/>
          <w:snapToGrid w:val="0"/>
          <w:color w:val="auto"/>
          <w:spacing w:val="0"/>
          <w:kern w:val="0"/>
          <w:sz w:val="32"/>
          <w:szCs w:val="32"/>
          <w:highlight w:val="none"/>
          <w:shd w:val="clear" w:color="auto" w:fill="FFFFFF"/>
        </w:rPr>
        <w:t>有评价、评价结果有应用的</w:t>
      </w:r>
      <w:r>
        <w:rPr>
          <w:rFonts w:hint="default" w:ascii="Times New Roman" w:hAnsi="Times New Roman" w:eastAsia="仿宋_GB2312" w:cs="Times New Roman"/>
          <w:i w:val="0"/>
          <w:iCs w:val="0"/>
          <w:caps w:val="0"/>
          <w:snapToGrid w:val="0"/>
          <w:color w:val="auto"/>
          <w:spacing w:val="0"/>
          <w:kern w:val="0"/>
          <w:sz w:val="32"/>
          <w:szCs w:val="32"/>
          <w:highlight w:val="none"/>
          <w:shd w:val="clear" w:color="auto" w:fill="FFFFFF"/>
          <w:lang w:val="en-US" w:eastAsia="zh-CN"/>
        </w:rPr>
        <w:t>预算绩效</w:t>
      </w:r>
      <w:r>
        <w:rPr>
          <w:rFonts w:hint="default" w:ascii="Times New Roman" w:hAnsi="Times New Roman" w:eastAsia="仿宋_GB2312" w:cs="Times New Roman"/>
          <w:i w:val="0"/>
          <w:iCs w:val="0"/>
          <w:caps w:val="0"/>
          <w:snapToGrid w:val="0"/>
          <w:color w:val="auto"/>
          <w:spacing w:val="0"/>
          <w:kern w:val="0"/>
          <w:sz w:val="32"/>
          <w:szCs w:val="32"/>
          <w:highlight w:val="none"/>
          <w:shd w:val="clear" w:color="auto" w:fill="FFFFFF"/>
        </w:rPr>
        <w:t>管理</w:t>
      </w:r>
      <w:r>
        <w:rPr>
          <w:rFonts w:hint="default" w:ascii="Times New Roman" w:hAnsi="Times New Roman" w:eastAsia="仿宋_GB2312" w:cs="Times New Roman"/>
          <w:snapToGrid w:val="0"/>
          <w:color w:val="auto"/>
          <w:kern w:val="0"/>
          <w:sz w:val="32"/>
          <w:szCs w:val="32"/>
          <w:highlight w:val="none"/>
          <w:lang w:val="en-US" w:eastAsia="zh-CN"/>
        </w:rPr>
        <w:t>机制，</w:t>
      </w:r>
      <w:r>
        <w:rPr>
          <w:rFonts w:hint="default" w:ascii="Times New Roman" w:hAnsi="Times New Roman" w:eastAsia="仿宋_GB2312" w:cs="Times New Roman"/>
          <w:i w:val="0"/>
          <w:iCs w:val="0"/>
          <w:caps w:val="0"/>
          <w:snapToGrid w:val="0"/>
          <w:color w:val="auto"/>
          <w:spacing w:val="0"/>
          <w:kern w:val="0"/>
          <w:sz w:val="32"/>
          <w:szCs w:val="32"/>
          <w:highlight w:val="none"/>
          <w:shd w:val="clear" w:color="auto" w:fill="FFFFFF"/>
        </w:rPr>
        <w:t>切实提高财政资金使用效益</w:t>
      </w:r>
      <w:r>
        <w:rPr>
          <w:rFonts w:hint="default" w:ascii="Times New Roman" w:hAnsi="Times New Roman" w:eastAsia="仿宋_GB2312" w:cs="Times New Roman"/>
          <w:i w:val="0"/>
          <w:iCs w:val="0"/>
          <w:caps w:val="0"/>
          <w:snapToGrid w:val="0"/>
          <w:color w:val="auto"/>
          <w:spacing w:val="0"/>
          <w:kern w:val="0"/>
          <w:sz w:val="32"/>
          <w:szCs w:val="32"/>
          <w:highlight w:val="none"/>
          <w:shd w:val="clear" w:color="auto" w:fill="FFFFFF"/>
          <w:lang w:eastAsia="zh-CN"/>
        </w:rPr>
        <w:t>。</w:t>
      </w:r>
      <w:r>
        <w:rPr>
          <w:rFonts w:hint="default" w:ascii="Times New Roman" w:hAnsi="Times New Roman" w:eastAsia="仿宋_GB2312" w:cs="Times New Roman"/>
          <w:b/>
          <w:bCs/>
          <w:snapToGrid w:val="0"/>
          <w:color w:val="auto"/>
          <w:kern w:val="0"/>
          <w:sz w:val="32"/>
          <w:szCs w:val="32"/>
          <w:highlight w:val="none"/>
          <w:lang w:val="en-US" w:eastAsia="zh-CN"/>
        </w:rPr>
        <w:t>二是</w:t>
      </w:r>
      <w:r>
        <w:rPr>
          <w:rFonts w:hint="default" w:ascii="Times New Roman" w:hAnsi="Times New Roman" w:eastAsia="仿宋_GB2312" w:cs="Times New Roman"/>
          <w:b w:val="0"/>
          <w:bCs w:val="0"/>
          <w:snapToGrid w:val="0"/>
          <w:color w:val="auto"/>
          <w:kern w:val="0"/>
          <w:sz w:val="32"/>
          <w:szCs w:val="32"/>
          <w:highlight w:val="none"/>
          <w:lang w:val="en-US" w:eastAsia="zh-CN"/>
        </w:rPr>
        <w:t>及时</w:t>
      </w:r>
      <w:r>
        <w:rPr>
          <w:rFonts w:hint="default" w:ascii="Times New Roman" w:hAnsi="Times New Roman" w:eastAsia="仿宋_GB2312" w:cs="Times New Roman"/>
          <w:b w:val="0"/>
          <w:bCs w:val="0"/>
          <w:i w:val="0"/>
          <w:iCs w:val="0"/>
          <w:caps w:val="0"/>
          <w:snapToGrid w:val="0"/>
          <w:color w:val="auto"/>
          <w:spacing w:val="0"/>
          <w:kern w:val="0"/>
          <w:sz w:val="32"/>
          <w:szCs w:val="32"/>
          <w:highlight w:val="none"/>
          <w:shd w:val="clear" w:color="auto" w:fill="FFFFFF"/>
          <w:lang w:val="en-US" w:eastAsia="zh-CN"/>
        </w:rPr>
        <w:t>对下</w:t>
      </w:r>
      <w:r>
        <w:rPr>
          <w:rFonts w:hint="default" w:ascii="Times New Roman" w:hAnsi="Times New Roman" w:eastAsia="仿宋_GB2312" w:cs="Times New Roman"/>
          <w:b w:val="0"/>
          <w:bCs w:val="0"/>
          <w:snapToGrid w:val="0"/>
          <w:color w:val="auto"/>
          <w:spacing w:val="0"/>
          <w:kern w:val="0"/>
          <w:sz w:val="32"/>
          <w:szCs w:val="32"/>
          <w:highlight w:val="none"/>
          <w:lang w:val="en-US" w:eastAsia="zh-CN"/>
        </w:rPr>
        <w:t>分解国家绩效目标任务</w:t>
      </w:r>
      <w:r>
        <w:rPr>
          <w:rFonts w:hint="default" w:ascii="Times New Roman" w:hAnsi="Times New Roman" w:eastAsia="仿宋_GB2312" w:cs="Times New Roman"/>
          <w:b w:val="0"/>
          <w:bCs w:val="0"/>
          <w:snapToGrid w:val="0"/>
          <w:color w:val="auto"/>
          <w:kern w:val="0"/>
          <w:sz w:val="32"/>
          <w:szCs w:val="32"/>
          <w:highlight w:val="none"/>
        </w:rPr>
        <w:t>，将有</w:t>
      </w:r>
      <w:r>
        <w:rPr>
          <w:rFonts w:hint="default" w:ascii="Times New Roman" w:hAnsi="Times New Roman" w:eastAsia="仿宋_GB2312" w:cs="Times New Roman"/>
          <w:b w:val="0"/>
          <w:bCs w:val="0"/>
          <w:snapToGrid w:val="0"/>
          <w:color w:val="auto"/>
          <w:kern w:val="0"/>
          <w:sz w:val="32"/>
          <w:szCs w:val="32"/>
          <w:highlight w:val="none"/>
          <w:lang w:val="en-US" w:eastAsia="zh-CN"/>
        </w:rPr>
        <w:t>关</w:t>
      </w:r>
      <w:r>
        <w:rPr>
          <w:rFonts w:hint="default" w:ascii="Times New Roman" w:hAnsi="Times New Roman" w:eastAsia="仿宋_GB2312" w:cs="Times New Roman"/>
          <w:b w:val="0"/>
          <w:bCs w:val="0"/>
          <w:snapToGrid w:val="0"/>
          <w:color w:val="auto"/>
          <w:kern w:val="0"/>
          <w:sz w:val="32"/>
          <w:szCs w:val="32"/>
          <w:highlight w:val="none"/>
        </w:rPr>
        <w:t>资金纳入</w:t>
      </w:r>
      <w:r>
        <w:rPr>
          <w:rFonts w:hint="default" w:ascii="Times New Roman" w:hAnsi="Times New Roman" w:eastAsia="仿宋_GB2312" w:cs="Times New Roman"/>
          <w:b w:val="0"/>
          <w:bCs w:val="0"/>
          <w:snapToGrid w:val="0"/>
          <w:color w:val="auto"/>
          <w:kern w:val="0"/>
          <w:sz w:val="32"/>
          <w:szCs w:val="32"/>
          <w:highlight w:val="none"/>
          <w:lang w:val="en-US" w:eastAsia="zh-CN"/>
        </w:rPr>
        <w:t>本</w:t>
      </w:r>
      <w:r>
        <w:rPr>
          <w:rFonts w:hint="default" w:ascii="Times New Roman" w:hAnsi="Times New Roman" w:eastAsia="仿宋_GB2312" w:cs="Times New Roman"/>
          <w:b w:val="0"/>
          <w:bCs w:val="0"/>
          <w:snapToGrid w:val="0"/>
          <w:color w:val="auto"/>
          <w:kern w:val="0"/>
          <w:sz w:val="32"/>
          <w:szCs w:val="32"/>
          <w:highlight w:val="none"/>
        </w:rPr>
        <w:t>级</w:t>
      </w:r>
      <w:r>
        <w:rPr>
          <w:rFonts w:hint="default" w:ascii="Times New Roman" w:hAnsi="Times New Roman" w:eastAsia="仿宋_GB2312" w:cs="Times New Roman"/>
          <w:b w:val="0"/>
          <w:bCs w:val="0"/>
          <w:snapToGrid w:val="0"/>
          <w:color w:val="auto"/>
          <w:kern w:val="0"/>
          <w:sz w:val="32"/>
          <w:szCs w:val="32"/>
          <w:highlight w:val="none"/>
          <w:lang w:val="en-US" w:eastAsia="zh-CN"/>
        </w:rPr>
        <w:t>预</w:t>
      </w:r>
      <w:r>
        <w:rPr>
          <w:rFonts w:hint="default" w:ascii="Times New Roman" w:hAnsi="Times New Roman" w:eastAsia="仿宋_GB2312" w:cs="Times New Roman"/>
          <w:b w:val="0"/>
          <w:bCs w:val="0"/>
          <w:snapToGrid w:val="0"/>
          <w:color w:val="auto"/>
          <w:kern w:val="0"/>
          <w:sz w:val="32"/>
          <w:szCs w:val="32"/>
          <w:highlight w:val="none"/>
        </w:rPr>
        <w:t>算</w:t>
      </w:r>
      <w:r>
        <w:rPr>
          <w:rFonts w:hint="default" w:ascii="Times New Roman" w:hAnsi="Times New Roman" w:eastAsia="仿宋_GB2312" w:cs="Times New Roman"/>
          <w:b w:val="0"/>
          <w:bCs w:val="0"/>
          <w:snapToGrid w:val="0"/>
          <w:color w:val="auto"/>
          <w:kern w:val="0"/>
          <w:sz w:val="32"/>
          <w:szCs w:val="32"/>
          <w:highlight w:val="none"/>
          <w:lang w:val="en-US" w:eastAsia="zh-CN"/>
        </w:rPr>
        <w:t>及</w:t>
      </w:r>
      <w:r>
        <w:rPr>
          <w:rFonts w:hint="default" w:ascii="Times New Roman" w:hAnsi="Times New Roman" w:eastAsia="仿宋_GB2312" w:cs="Times New Roman"/>
          <w:b w:val="0"/>
          <w:bCs w:val="0"/>
          <w:snapToGrid w:val="0"/>
          <w:color w:val="auto"/>
          <w:kern w:val="0"/>
          <w:sz w:val="32"/>
          <w:szCs w:val="32"/>
          <w:highlight w:val="none"/>
        </w:rPr>
        <w:t>对下</w:t>
      </w:r>
      <w:r>
        <w:rPr>
          <w:rFonts w:hint="default" w:ascii="Times New Roman" w:hAnsi="Times New Roman" w:eastAsia="仿宋_GB2312" w:cs="Times New Roman"/>
          <w:b w:val="0"/>
          <w:bCs w:val="0"/>
          <w:snapToGrid w:val="0"/>
          <w:color w:val="auto"/>
          <w:kern w:val="0"/>
          <w:sz w:val="32"/>
          <w:szCs w:val="32"/>
          <w:highlight w:val="none"/>
          <w:lang w:val="en-US" w:eastAsia="zh-CN"/>
        </w:rPr>
        <w:t>转移</w:t>
      </w:r>
      <w:r>
        <w:rPr>
          <w:rFonts w:hint="default" w:ascii="Times New Roman" w:hAnsi="Times New Roman" w:eastAsia="仿宋_GB2312" w:cs="Times New Roman"/>
          <w:b w:val="0"/>
          <w:bCs w:val="0"/>
          <w:snapToGrid w:val="0"/>
          <w:color w:val="auto"/>
          <w:kern w:val="0"/>
          <w:sz w:val="32"/>
          <w:szCs w:val="32"/>
          <w:highlight w:val="none"/>
        </w:rPr>
        <w:t>支付</w:t>
      </w:r>
      <w:r>
        <w:rPr>
          <w:rFonts w:hint="default" w:ascii="Times New Roman" w:hAnsi="Times New Roman" w:eastAsia="仿宋_GB2312" w:cs="Times New Roman"/>
          <w:b w:val="0"/>
          <w:bCs w:val="0"/>
          <w:snapToGrid w:val="0"/>
          <w:color w:val="auto"/>
          <w:kern w:val="0"/>
          <w:sz w:val="32"/>
          <w:szCs w:val="32"/>
          <w:highlight w:val="none"/>
          <w:lang w:val="en-US" w:eastAsia="zh-CN"/>
        </w:rPr>
        <w:t>的</w:t>
      </w:r>
      <w:r>
        <w:rPr>
          <w:rFonts w:hint="default" w:ascii="Times New Roman" w:hAnsi="Times New Roman" w:eastAsia="仿宋_GB2312" w:cs="Times New Roman"/>
          <w:b w:val="0"/>
          <w:bCs w:val="0"/>
          <w:snapToGrid w:val="0"/>
          <w:color w:val="auto"/>
          <w:kern w:val="0"/>
          <w:sz w:val="32"/>
          <w:szCs w:val="32"/>
          <w:highlight w:val="none"/>
        </w:rPr>
        <w:t>绩效管理</w:t>
      </w:r>
      <w:r>
        <w:rPr>
          <w:rFonts w:hint="default" w:ascii="Times New Roman" w:hAnsi="Times New Roman" w:eastAsia="仿宋_GB2312" w:cs="Times New Roman"/>
          <w:b w:val="0"/>
          <w:bCs w:val="0"/>
          <w:snapToGrid w:val="0"/>
          <w:color w:val="auto"/>
          <w:spacing w:val="0"/>
          <w:kern w:val="0"/>
          <w:sz w:val="32"/>
          <w:szCs w:val="32"/>
          <w:highlight w:val="none"/>
          <w:lang w:val="en-US" w:eastAsia="zh-CN"/>
        </w:rPr>
        <w:t>。</w:t>
      </w:r>
      <w:r>
        <w:rPr>
          <w:rFonts w:hint="default" w:ascii="Times New Roman" w:hAnsi="Times New Roman" w:eastAsia="仿宋_GB2312" w:cs="Times New Roman"/>
          <w:b w:val="0"/>
          <w:bCs w:val="0"/>
          <w:snapToGrid w:val="0"/>
          <w:color w:val="auto"/>
          <w:kern w:val="0"/>
          <w:sz w:val="32"/>
          <w:szCs w:val="32"/>
          <w:highlight w:val="none"/>
          <w:lang w:val="en-US" w:eastAsia="zh-CN"/>
        </w:rPr>
        <w:t>省卫生健康委商省财政厅科学设定了绩效目标，并在向</w:t>
      </w:r>
      <w:r>
        <w:rPr>
          <w:rFonts w:hint="default" w:ascii="Times New Roman" w:hAnsi="Times New Roman" w:eastAsia="仿宋_GB2312" w:cs="Times New Roman"/>
          <w:i w:val="0"/>
          <w:iCs w:val="0"/>
          <w:caps w:val="0"/>
          <w:snapToGrid w:val="0"/>
          <w:color w:val="auto"/>
          <w:spacing w:val="0"/>
          <w:kern w:val="0"/>
          <w:sz w:val="32"/>
          <w:szCs w:val="32"/>
          <w:highlight w:val="none"/>
          <w:shd w:val="clear" w:color="auto" w:fill="FFFFFF"/>
          <w:lang w:val="en-US" w:eastAsia="zh-CN"/>
        </w:rPr>
        <w:t>各地各单位</w:t>
      </w:r>
      <w:r>
        <w:rPr>
          <w:rFonts w:hint="default" w:ascii="Times New Roman" w:hAnsi="Times New Roman" w:eastAsia="仿宋_GB2312" w:cs="Times New Roman"/>
          <w:b w:val="0"/>
          <w:bCs w:val="0"/>
          <w:snapToGrid w:val="0"/>
          <w:color w:val="auto"/>
          <w:kern w:val="0"/>
          <w:sz w:val="32"/>
          <w:szCs w:val="32"/>
          <w:highlight w:val="none"/>
          <w:lang w:val="en-US" w:eastAsia="zh-CN"/>
        </w:rPr>
        <w:t>正式下达转移支付预算时</w:t>
      </w:r>
      <w:r>
        <w:rPr>
          <w:rFonts w:hint="default" w:ascii="Times New Roman" w:hAnsi="Times New Roman" w:eastAsia="仿宋_GB2312" w:cs="Times New Roman"/>
          <w:b w:val="0"/>
          <w:bCs w:val="0"/>
          <w:snapToGrid w:val="0"/>
          <w:color w:val="auto"/>
          <w:kern w:val="0"/>
          <w:sz w:val="32"/>
          <w:szCs w:val="32"/>
          <w:highlight w:val="none"/>
        </w:rPr>
        <w:t>同步下达</w:t>
      </w:r>
      <w:r>
        <w:rPr>
          <w:rFonts w:hint="default" w:ascii="Times New Roman" w:hAnsi="Times New Roman" w:eastAsia="仿宋_GB2312" w:cs="Times New Roman"/>
          <w:b w:val="0"/>
          <w:bCs w:val="0"/>
          <w:snapToGrid w:val="0"/>
          <w:color w:val="auto"/>
          <w:kern w:val="0"/>
          <w:sz w:val="32"/>
          <w:szCs w:val="32"/>
          <w:highlight w:val="none"/>
          <w:lang w:eastAsia="zh-CN"/>
        </w:rPr>
        <w:t>，</w:t>
      </w:r>
      <w:r>
        <w:rPr>
          <w:rFonts w:hint="default" w:ascii="Times New Roman" w:hAnsi="Times New Roman" w:eastAsia="仿宋_GB2312" w:cs="Times New Roman"/>
          <w:b w:val="0"/>
          <w:bCs w:val="0"/>
          <w:snapToGrid w:val="0"/>
          <w:color w:val="auto"/>
          <w:kern w:val="0"/>
          <w:sz w:val="32"/>
          <w:szCs w:val="32"/>
          <w:highlight w:val="none"/>
          <w:lang w:val="en-US" w:eastAsia="zh-CN"/>
        </w:rPr>
        <w:t>同时抄送财政部广东监管局。</w:t>
      </w:r>
      <w:r>
        <w:rPr>
          <w:rFonts w:hint="default" w:ascii="Times New Roman" w:hAnsi="Times New Roman" w:eastAsia="仿宋_GB2312" w:cs="Times New Roman"/>
          <w:b/>
          <w:bCs/>
          <w:snapToGrid w:val="0"/>
          <w:color w:val="auto"/>
          <w:kern w:val="0"/>
          <w:sz w:val="32"/>
          <w:szCs w:val="32"/>
          <w:highlight w:val="none"/>
          <w:lang w:val="en-US" w:eastAsia="zh-CN"/>
        </w:rPr>
        <w:t>三是</w:t>
      </w:r>
      <w:r>
        <w:rPr>
          <w:rFonts w:hint="default" w:ascii="Times New Roman" w:hAnsi="Times New Roman" w:eastAsia="仿宋_GB2312" w:cs="Times New Roman"/>
          <w:b w:val="0"/>
          <w:bCs w:val="0"/>
          <w:snapToGrid w:val="0"/>
          <w:color w:val="auto"/>
          <w:kern w:val="0"/>
          <w:sz w:val="32"/>
          <w:szCs w:val="32"/>
          <w:highlight w:val="none"/>
          <w:lang w:val="en-US" w:eastAsia="zh-CN"/>
        </w:rPr>
        <w:t>做好绩效运行监控工作。先后</w:t>
      </w:r>
      <w:r>
        <w:rPr>
          <w:rFonts w:hint="default" w:ascii="Times New Roman" w:hAnsi="Times New Roman" w:eastAsia="仿宋_GB2312" w:cs="Times New Roman"/>
          <w:snapToGrid w:val="0"/>
          <w:color w:val="auto"/>
          <w:kern w:val="0"/>
          <w:sz w:val="32"/>
          <w:szCs w:val="32"/>
          <w:highlight w:val="none"/>
          <w:lang w:val="en-US" w:eastAsia="zh-CN"/>
        </w:rPr>
        <w:t>制订了《关于建立预算支出执行定期分析机制的通知》（粤财预〔2019〕27号）、《广东省卫生健康委办公室关于建立预算支出执行定期分析机制的通知》(粤卫办函〔2019〕96号）、</w:t>
      </w:r>
      <w:r>
        <w:rPr>
          <w:rFonts w:hint="default" w:ascii="Times New Roman" w:hAnsi="Times New Roman" w:eastAsia="仿宋_GB2312" w:cs="Times New Roman"/>
          <w:snapToGrid w:val="0"/>
          <w:color w:val="auto"/>
          <w:kern w:val="0"/>
          <w:sz w:val="32"/>
          <w:szCs w:val="32"/>
          <w:highlight w:val="none"/>
          <w:lang w:eastAsia="zh-CN"/>
        </w:rPr>
        <w:t>《省卫生健康委预算执行支出进度通报办法（试行）》（粤卫办财务函〔2022〕20号）、《关于做好2022年实施国家基本药物制度补助项目绩效目标执行监控工作的通知》和《关于做好2022年广东省基本药物补助资金绩效运行工作的通知》</w:t>
      </w:r>
      <w:r>
        <w:rPr>
          <w:rFonts w:hint="default" w:ascii="Times New Roman" w:hAnsi="Times New Roman" w:eastAsia="仿宋_GB2312" w:cs="Times New Roman"/>
          <w:snapToGrid w:val="0"/>
          <w:color w:val="auto"/>
          <w:kern w:val="0"/>
          <w:sz w:val="32"/>
          <w:szCs w:val="32"/>
          <w:highlight w:val="none"/>
          <w:lang w:val="en-US" w:eastAsia="zh-CN"/>
        </w:rPr>
        <w:t>等文件</w:t>
      </w:r>
      <w:r>
        <w:rPr>
          <w:rFonts w:hint="default" w:ascii="Times New Roman" w:hAnsi="Times New Roman" w:eastAsia="仿宋_GB2312" w:cs="Times New Roman"/>
          <w:snapToGrid w:val="0"/>
          <w:color w:val="auto"/>
          <w:kern w:val="0"/>
          <w:sz w:val="32"/>
          <w:szCs w:val="32"/>
          <w:highlight w:val="none"/>
          <w:lang w:eastAsia="zh-CN"/>
        </w:rPr>
        <w:t>。此外还</w:t>
      </w:r>
      <w:r>
        <w:rPr>
          <w:rFonts w:hint="default" w:ascii="Times New Roman" w:hAnsi="Times New Roman" w:eastAsia="仿宋_GB2312" w:cs="Times New Roman"/>
          <w:snapToGrid w:val="0"/>
          <w:color w:val="auto"/>
          <w:kern w:val="0"/>
          <w:sz w:val="32"/>
          <w:szCs w:val="32"/>
          <w:highlight w:val="none"/>
          <w:lang w:val="en-US" w:eastAsia="zh-CN"/>
        </w:rPr>
        <w:t>对中央转移支付资金支出进度实施月通报制度，并将监控结果及时反馈到各地各单位，要求主管部门和实施单位深入分析未达标的原因和采取必要措施，在资金支出安全、规范前提下，加快中央补助资金支出进度和项目实施进度，确保绩效目标如期实现。年中对2022年中央和省级财政专项资金组织开展了绩效运行监控，形成《广东省卫生健康委关于2022年度中央和省级专项资金绩效运行监控报告》，对项目运行情况进行分析，重点针对实施督导不</w:t>
      </w:r>
      <w:r>
        <w:rPr>
          <w:rFonts w:hint="default" w:ascii="Times New Roman" w:hAnsi="Times New Roman" w:cs="Times New Roman"/>
          <w:snapToGrid w:val="0"/>
          <w:color w:val="auto"/>
          <w:kern w:val="0"/>
          <w:sz w:val="32"/>
          <w:szCs w:val="32"/>
          <w:highlight w:val="none"/>
          <w:lang w:val="en-US" w:eastAsia="zh-CN"/>
        </w:rPr>
        <w:t>力</w:t>
      </w:r>
      <w:r>
        <w:rPr>
          <w:rFonts w:hint="default" w:ascii="Times New Roman" w:hAnsi="Times New Roman" w:eastAsia="仿宋_GB2312" w:cs="Times New Roman"/>
          <w:snapToGrid w:val="0"/>
          <w:color w:val="auto"/>
          <w:kern w:val="0"/>
          <w:sz w:val="32"/>
          <w:szCs w:val="32"/>
          <w:highlight w:val="none"/>
          <w:lang w:val="en-US" w:eastAsia="zh-CN"/>
        </w:rPr>
        <w:t>、下拨市县资金支出率偏低、指标落实严重滞后等问题提出改进建议和要求</w:t>
      </w:r>
      <w:r>
        <w:rPr>
          <w:rFonts w:hint="default" w:ascii="Times New Roman" w:hAnsi="Times New Roman" w:cs="Times New Roman"/>
          <w:b w:val="0"/>
          <w:bCs w:val="0"/>
          <w:snapToGrid w:val="0"/>
          <w:color w:val="auto"/>
          <w:kern w:val="0"/>
          <w:sz w:val="32"/>
          <w:szCs w:val="32"/>
          <w:highlight w:val="none"/>
          <w:lang w:val="en-US" w:eastAsia="zh-CN"/>
        </w:rPr>
        <w:t>。</w:t>
      </w:r>
      <w:r>
        <w:rPr>
          <w:rFonts w:hint="default" w:ascii="Times New Roman" w:hAnsi="Times New Roman" w:eastAsia="仿宋_GB2312" w:cs="Times New Roman"/>
          <w:b/>
          <w:bCs/>
          <w:snapToGrid w:val="0"/>
          <w:color w:val="auto"/>
          <w:kern w:val="0"/>
          <w:sz w:val="32"/>
          <w:szCs w:val="32"/>
          <w:highlight w:val="none"/>
          <w:lang w:val="en-US" w:eastAsia="zh-CN"/>
        </w:rPr>
        <w:t>同时，</w:t>
      </w:r>
      <w:r>
        <w:rPr>
          <w:rFonts w:hint="default" w:ascii="Times New Roman" w:hAnsi="Times New Roman" w:eastAsia="仿宋_GB2312" w:cs="Times New Roman"/>
          <w:b w:val="0"/>
          <w:bCs w:val="0"/>
          <w:snapToGrid w:val="0"/>
          <w:color w:val="auto"/>
          <w:kern w:val="0"/>
          <w:sz w:val="32"/>
          <w:szCs w:val="32"/>
          <w:highlight w:val="none"/>
          <w:lang w:val="en-US" w:eastAsia="zh-CN"/>
        </w:rPr>
        <w:t>省卫生健康委责任处室</w:t>
      </w:r>
      <w:r>
        <w:rPr>
          <w:rFonts w:hint="default" w:ascii="Times New Roman" w:hAnsi="Times New Roman" w:cs="Times New Roman"/>
          <w:snapToGrid w:val="0"/>
          <w:color w:val="auto"/>
          <w:kern w:val="0"/>
          <w:sz w:val="32"/>
          <w:szCs w:val="32"/>
          <w:highlight w:val="none"/>
          <w:lang w:val="en-US" w:eastAsia="zh-CN"/>
        </w:rPr>
        <w:t>进一步结合业务工作进展，</w:t>
      </w:r>
      <w:r>
        <w:rPr>
          <w:rFonts w:hint="default" w:ascii="Times New Roman" w:hAnsi="Times New Roman" w:eastAsia="仿宋_GB2312" w:cs="Times New Roman"/>
          <w:snapToGrid w:val="0"/>
          <w:color w:val="auto"/>
          <w:kern w:val="0"/>
          <w:sz w:val="32"/>
          <w:szCs w:val="32"/>
          <w:highlight w:val="none"/>
          <w:lang w:val="en-US" w:eastAsia="zh-CN"/>
        </w:rPr>
        <w:t>每月</w:t>
      </w:r>
      <w:r>
        <w:rPr>
          <w:rFonts w:hint="default" w:ascii="Times New Roman" w:hAnsi="Times New Roman" w:cs="Times New Roman"/>
          <w:snapToGrid w:val="0"/>
          <w:color w:val="auto"/>
          <w:kern w:val="0"/>
          <w:sz w:val="32"/>
          <w:szCs w:val="32"/>
          <w:highlight w:val="none"/>
          <w:lang w:val="en-US" w:eastAsia="zh-CN"/>
        </w:rPr>
        <w:t>通过</w:t>
      </w:r>
      <w:r>
        <w:rPr>
          <w:rFonts w:hint="default" w:ascii="Times New Roman" w:hAnsi="Times New Roman" w:eastAsia="仿宋_GB2312" w:cs="Times New Roman"/>
          <w:snapToGrid w:val="0"/>
          <w:color w:val="auto"/>
          <w:kern w:val="0"/>
          <w:sz w:val="32"/>
          <w:szCs w:val="32"/>
          <w:highlight w:val="none"/>
          <w:lang w:val="en-US" w:eastAsia="zh-CN"/>
        </w:rPr>
        <w:t>工作群通报</w:t>
      </w:r>
      <w:r>
        <w:rPr>
          <w:rFonts w:hint="default" w:ascii="Times New Roman" w:hAnsi="Times New Roman" w:cs="Times New Roman"/>
          <w:snapToGrid w:val="0"/>
          <w:color w:val="auto"/>
          <w:kern w:val="0"/>
          <w:sz w:val="32"/>
          <w:szCs w:val="32"/>
          <w:highlight w:val="none"/>
          <w:lang w:val="en-US" w:eastAsia="zh-CN"/>
        </w:rPr>
        <w:t>各，</w:t>
      </w:r>
      <w:r>
        <w:rPr>
          <w:rFonts w:hint="default" w:ascii="Times New Roman" w:hAnsi="Times New Roman" w:eastAsia="仿宋_GB2312" w:cs="Times New Roman"/>
          <w:snapToGrid w:val="0"/>
          <w:color w:val="auto"/>
          <w:kern w:val="0"/>
          <w:sz w:val="32"/>
          <w:szCs w:val="32"/>
          <w:highlight w:val="none"/>
          <w:lang w:val="en-US" w:eastAsia="zh-CN"/>
        </w:rPr>
        <w:t>要求地市每季度以书面形式报告基本药物制度实施与专项资金拨付支出情况，及时对各地市资金执行情况进行分析反馈，每半年印发《</w:t>
      </w:r>
      <w:r>
        <w:rPr>
          <w:rFonts w:hint="default" w:ascii="Times New Roman" w:hAnsi="Times New Roman" w:eastAsia="仿宋_GB2312" w:cs="Times New Roman"/>
          <w:snapToGrid w:val="0"/>
          <w:color w:val="auto"/>
          <w:kern w:val="0"/>
          <w:sz w:val="32"/>
          <w:szCs w:val="32"/>
          <w:highlight w:val="none"/>
          <w:lang w:val="en-US" w:eastAsia="zh-CN" w:bidi="ar"/>
        </w:rPr>
        <w:t>广东省卫生健康委办公室关于2022年度全省落实国家基本药物制度情况的通报</w:t>
      </w:r>
      <w:r>
        <w:rPr>
          <w:rFonts w:hint="default" w:ascii="Times New Roman" w:hAnsi="Times New Roman" w:eastAsia="仿宋_GB2312" w:cs="Times New Roman"/>
          <w:snapToGrid w:val="0"/>
          <w:color w:val="auto"/>
          <w:kern w:val="0"/>
          <w:sz w:val="32"/>
          <w:szCs w:val="32"/>
          <w:highlight w:val="none"/>
          <w:lang w:val="en-US" w:eastAsia="zh-CN"/>
        </w:rPr>
        <w:t>》（</w:t>
      </w:r>
      <w:r>
        <w:rPr>
          <w:rFonts w:hint="default" w:ascii="Times New Roman" w:hAnsi="Times New Roman" w:eastAsia="仿宋_GB2312" w:cs="Times New Roman"/>
          <w:snapToGrid w:val="0"/>
          <w:color w:val="auto"/>
          <w:kern w:val="0"/>
          <w:sz w:val="32"/>
          <w:szCs w:val="32"/>
          <w:highlight w:val="none"/>
          <w:lang w:val="en-US" w:eastAsia="zh-CN" w:bidi="ar"/>
        </w:rPr>
        <w:t>粤卫办药政函〔2022〕9号</w:t>
      </w:r>
      <w:r>
        <w:rPr>
          <w:rFonts w:hint="default" w:ascii="Times New Roman" w:hAnsi="Times New Roman" w:eastAsia="仿宋_GB2312" w:cs="Times New Roman"/>
          <w:snapToGrid w:val="0"/>
          <w:color w:val="auto"/>
          <w:kern w:val="0"/>
          <w:sz w:val="32"/>
          <w:szCs w:val="32"/>
          <w:highlight w:val="none"/>
          <w:lang w:val="en-US" w:eastAsia="zh-CN"/>
        </w:rPr>
        <w:t>）。针对资金支出进度未达时序的地市印发《关于中央和省财政转移支付实施国家基本药物制度补助资金支出进度的提醒函》</w:t>
      </w:r>
      <w:r>
        <w:rPr>
          <w:rFonts w:hint="default" w:ascii="Times New Roman" w:hAnsi="Times New Roman" w:cs="Times New Roman"/>
          <w:snapToGrid w:val="0"/>
          <w:color w:val="auto"/>
          <w:kern w:val="0"/>
          <w:sz w:val="32"/>
          <w:szCs w:val="32"/>
          <w:highlight w:val="none"/>
          <w:lang w:val="en-US" w:eastAsia="zh-CN"/>
        </w:rPr>
        <w:t>，</w:t>
      </w:r>
      <w:r>
        <w:rPr>
          <w:rFonts w:hint="default" w:ascii="Times New Roman" w:hAnsi="Times New Roman" w:eastAsia="仿宋_GB2312" w:cs="Times New Roman"/>
          <w:snapToGrid w:val="0"/>
          <w:color w:val="auto"/>
          <w:kern w:val="0"/>
          <w:sz w:val="32"/>
          <w:szCs w:val="32"/>
          <w:highlight w:val="none"/>
          <w:lang w:val="en-US" w:eastAsia="zh-CN"/>
        </w:rPr>
        <w:t>明确工作要求。</w:t>
      </w:r>
      <w:r>
        <w:rPr>
          <w:rFonts w:hint="default" w:ascii="Times New Roman" w:hAnsi="Times New Roman" w:eastAsia="仿宋_GB2312" w:cs="Times New Roman"/>
          <w:b/>
          <w:bCs/>
          <w:snapToGrid w:val="0"/>
          <w:color w:val="auto"/>
          <w:kern w:val="0"/>
          <w:sz w:val="32"/>
          <w:szCs w:val="32"/>
          <w:highlight w:val="none"/>
          <w:lang w:val="en-US" w:eastAsia="zh-CN"/>
        </w:rPr>
        <w:t>四是</w:t>
      </w:r>
      <w:r>
        <w:rPr>
          <w:rFonts w:hint="default" w:ascii="Times New Roman" w:hAnsi="Times New Roman" w:eastAsia="仿宋_GB2312" w:cs="Times New Roman"/>
          <w:b w:val="0"/>
          <w:bCs w:val="0"/>
          <w:snapToGrid w:val="0"/>
          <w:color w:val="auto"/>
          <w:kern w:val="0"/>
          <w:sz w:val="32"/>
          <w:szCs w:val="32"/>
          <w:highlight w:val="none"/>
          <w:lang w:val="en-US" w:eastAsia="zh-CN"/>
        </w:rPr>
        <w:t>及时组织绩效评价工作。年度预算执行结束后，我省组织各地各单位对中央转移支付管理情况、绩效目标完成情况、政策和项目实施效果开展绩效自评，并按要求</w:t>
      </w:r>
      <w:r>
        <w:rPr>
          <w:rFonts w:hint="default" w:ascii="Times New Roman" w:hAnsi="Times New Roman" w:cs="Times New Roman"/>
          <w:b w:val="0"/>
          <w:bCs w:val="0"/>
          <w:snapToGrid w:val="0"/>
          <w:color w:val="auto"/>
          <w:kern w:val="0"/>
          <w:sz w:val="32"/>
          <w:szCs w:val="32"/>
          <w:highlight w:val="none"/>
          <w:lang w:val="en-US" w:eastAsia="zh-CN"/>
        </w:rPr>
        <w:t>及时将结果呈报</w:t>
      </w:r>
      <w:r>
        <w:rPr>
          <w:rFonts w:hint="default" w:ascii="Times New Roman" w:hAnsi="Times New Roman" w:eastAsia="仿宋_GB2312" w:cs="Times New Roman"/>
          <w:b w:val="0"/>
          <w:bCs w:val="0"/>
          <w:snapToGrid w:val="0"/>
          <w:color w:val="auto"/>
          <w:kern w:val="0"/>
          <w:sz w:val="32"/>
          <w:szCs w:val="32"/>
          <w:highlight w:val="none"/>
          <w:lang w:val="en-US" w:eastAsia="zh-CN"/>
        </w:rPr>
        <w:t>中央主管部门。</w:t>
      </w:r>
      <w:r>
        <w:rPr>
          <w:rFonts w:hint="default" w:ascii="Times New Roman" w:hAnsi="Times New Roman" w:eastAsia="仿宋_GB2312" w:cs="Times New Roman"/>
          <w:b/>
          <w:bCs/>
          <w:snapToGrid w:val="0"/>
          <w:color w:val="auto"/>
          <w:kern w:val="0"/>
          <w:sz w:val="32"/>
          <w:szCs w:val="32"/>
          <w:highlight w:val="none"/>
          <w:lang w:val="en-US" w:eastAsia="zh-CN"/>
        </w:rPr>
        <w:t>五是</w:t>
      </w:r>
      <w:r>
        <w:rPr>
          <w:rFonts w:hint="default" w:ascii="Times New Roman" w:hAnsi="Times New Roman" w:eastAsia="仿宋_GB2312" w:cs="Times New Roman"/>
          <w:b w:val="0"/>
          <w:bCs w:val="0"/>
          <w:snapToGrid w:val="0"/>
          <w:color w:val="auto"/>
          <w:kern w:val="0"/>
          <w:sz w:val="32"/>
          <w:szCs w:val="32"/>
          <w:highlight w:val="none"/>
          <w:lang w:val="en-US" w:eastAsia="zh-CN"/>
        </w:rPr>
        <w:t>加强</w:t>
      </w:r>
      <w:r>
        <w:rPr>
          <w:rFonts w:hint="default" w:ascii="Times New Roman" w:hAnsi="Times New Roman" w:eastAsia="仿宋_GB2312" w:cs="Times New Roman"/>
          <w:snapToGrid w:val="0"/>
          <w:color w:val="auto"/>
          <w:kern w:val="0"/>
          <w:sz w:val="32"/>
          <w:szCs w:val="32"/>
          <w:highlight w:val="none"/>
        </w:rPr>
        <w:t>绩效评价结果</w:t>
      </w:r>
      <w:r>
        <w:rPr>
          <w:rFonts w:hint="default" w:ascii="Times New Roman" w:hAnsi="Times New Roman" w:eastAsia="仿宋_GB2312" w:cs="Times New Roman"/>
          <w:snapToGrid w:val="0"/>
          <w:color w:val="auto"/>
          <w:kern w:val="0"/>
          <w:sz w:val="32"/>
          <w:szCs w:val="32"/>
          <w:highlight w:val="none"/>
          <w:lang w:val="en-US" w:eastAsia="zh-CN"/>
        </w:rPr>
        <w:t>应用。</w:t>
      </w:r>
      <w:r>
        <w:rPr>
          <w:rFonts w:hint="default" w:ascii="Times New Roman" w:hAnsi="Times New Roman" w:eastAsia="仿宋_GB2312" w:cs="Times New Roman"/>
          <w:b w:val="0"/>
          <w:bCs w:val="0"/>
          <w:snapToGrid w:val="0"/>
          <w:color w:val="auto"/>
          <w:spacing w:val="0"/>
          <w:kern w:val="0"/>
          <w:sz w:val="32"/>
          <w:szCs w:val="32"/>
          <w:highlight w:val="none"/>
          <w:lang w:val="en-US" w:eastAsia="zh-CN"/>
        </w:rPr>
        <w:t>广东省国家基本药物制度中央转移支付年度绩效自评报告主动在省卫生健康委门户网站公开，自觉接受公众监督。总体上，我省预算绩效管理做到预算编制有目标、绩效运行有监控、项目结束有评价、评价结果有应用的全过程管理，中央下达的总体目标和绩效指标全部如期实现，居民满意度较高，国家基本药物制度顺利实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0"/>
        <w:rPr>
          <w:rFonts w:hint="default" w:ascii="Times New Roman" w:hAnsi="Times New Roman" w:eastAsia="仿宋_GB2312" w:cs="Times New Roman"/>
          <w:b w:val="0"/>
          <w:bCs w:val="0"/>
          <w:snapToGrid w:val="0"/>
          <w:color w:val="auto"/>
          <w:kern w:val="0"/>
          <w:sz w:val="32"/>
          <w:szCs w:val="32"/>
          <w:highlight w:val="none"/>
        </w:rPr>
      </w:pPr>
      <w:r>
        <w:rPr>
          <w:rFonts w:hint="default" w:ascii="Times New Roman" w:hAnsi="Times New Roman" w:eastAsia="仿宋_GB2312" w:cs="Times New Roman"/>
          <w:b/>
          <w:bCs/>
          <w:snapToGrid w:val="0"/>
          <w:color w:val="auto"/>
          <w:kern w:val="0"/>
          <w:sz w:val="32"/>
          <w:szCs w:val="32"/>
          <w:highlight w:val="none"/>
          <w:lang w:val="en-US" w:eastAsia="zh-CN" w:bidi="ar"/>
        </w:rPr>
        <w:t>7</w:t>
      </w:r>
      <w:r>
        <w:rPr>
          <w:rFonts w:hint="eastAsia" w:ascii="仿宋_GB2312" w:hAnsi="仿宋_GB2312" w:eastAsia="仿宋_GB2312" w:cs="仿宋_GB2312"/>
          <w:b/>
          <w:bCs/>
          <w:snapToGrid w:val="0"/>
          <w:color w:val="auto"/>
          <w:kern w:val="0"/>
          <w:sz w:val="32"/>
          <w:szCs w:val="32"/>
          <w:highlight w:val="none"/>
          <w:lang w:bidi="ar"/>
        </w:rPr>
        <w:t>.支</w:t>
      </w:r>
      <w:r>
        <w:rPr>
          <w:rFonts w:hint="default" w:ascii="Times New Roman" w:hAnsi="Times New Roman" w:eastAsia="仿宋_GB2312" w:cs="Times New Roman"/>
          <w:b/>
          <w:bCs/>
          <w:snapToGrid w:val="0"/>
          <w:color w:val="auto"/>
          <w:kern w:val="0"/>
          <w:sz w:val="32"/>
          <w:szCs w:val="32"/>
          <w:highlight w:val="none"/>
          <w:lang w:bidi="ar"/>
        </w:rPr>
        <w:t>出责任履行情况。</w:t>
      </w:r>
      <w:r>
        <w:rPr>
          <w:rFonts w:hint="default" w:ascii="Times New Roman" w:hAnsi="Times New Roman" w:eastAsia="仿宋_GB2312" w:cs="Times New Roman"/>
          <w:b w:val="0"/>
          <w:bCs w:val="0"/>
          <w:snapToGrid w:val="0"/>
          <w:color w:val="auto"/>
          <w:kern w:val="0"/>
          <w:sz w:val="32"/>
          <w:szCs w:val="32"/>
          <w:highlight w:val="none"/>
        </w:rPr>
        <w:t>对共同财政事权转移支付，</w:t>
      </w:r>
      <w:r>
        <w:rPr>
          <w:rFonts w:hint="default" w:ascii="Times New Roman" w:hAnsi="Times New Roman" w:eastAsia="仿宋_GB2312" w:cs="Times New Roman"/>
          <w:b w:val="0"/>
          <w:bCs w:val="0"/>
          <w:snapToGrid w:val="0"/>
          <w:color w:val="auto"/>
          <w:kern w:val="0"/>
          <w:sz w:val="32"/>
          <w:szCs w:val="32"/>
          <w:highlight w:val="none"/>
          <w:lang w:val="en-US" w:eastAsia="zh-CN"/>
        </w:rPr>
        <w:t>我省按照《国务院办公厅关于印发医疗卫生领域中央与地方财政事权和支出责任划分改革方案的通知》（</w:t>
      </w:r>
      <w:r>
        <w:rPr>
          <w:rFonts w:hint="default" w:ascii="Times New Roman" w:hAnsi="Times New Roman" w:eastAsia="仿宋_GB2312" w:cs="Times New Roman"/>
          <w:snapToGrid w:val="0"/>
          <w:color w:val="auto"/>
          <w:kern w:val="0"/>
          <w:sz w:val="32"/>
          <w:szCs w:val="32"/>
          <w:highlight w:val="none"/>
          <w:lang w:val="en-US" w:eastAsia="zh-CN" w:bidi="ar"/>
        </w:rPr>
        <w:t>国办发〔2018〕67号</w:t>
      </w:r>
      <w:r>
        <w:rPr>
          <w:rFonts w:hint="default" w:ascii="Times New Roman" w:hAnsi="Times New Roman" w:eastAsia="仿宋_GB2312" w:cs="Times New Roman"/>
          <w:b w:val="0"/>
          <w:bCs w:val="0"/>
          <w:snapToGrid w:val="0"/>
          <w:color w:val="auto"/>
          <w:kern w:val="0"/>
          <w:sz w:val="32"/>
          <w:szCs w:val="32"/>
          <w:highlight w:val="none"/>
          <w:lang w:val="en-US" w:eastAsia="zh-CN"/>
        </w:rPr>
        <w:t>）和</w:t>
      </w:r>
      <w:r>
        <w:rPr>
          <w:rFonts w:hint="default" w:ascii="Times New Roman" w:hAnsi="Times New Roman" w:eastAsia="仿宋_GB2312" w:cs="Times New Roman"/>
          <w:i w:val="0"/>
          <w:iCs w:val="0"/>
          <w:caps w:val="0"/>
          <w:snapToGrid w:val="0"/>
          <w:color w:val="auto"/>
          <w:spacing w:val="0"/>
          <w:kern w:val="0"/>
          <w:sz w:val="32"/>
          <w:szCs w:val="32"/>
          <w:highlight w:val="none"/>
          <w:shd w:val="clear" w:color="auto" w:fill="FFFFFF"/>
        </w:rPr>
        <w:t>《广东省人民政府办公厅关于印发广东省医疗卫生领域省级与市县财政事权和支出责任划分改革实施方案的通知》（粤府办〔2019〕5号）</w:t>
      </w:r>
      <w:r>
        <w:rPr>
          <w:rFonts w:hint="default" w:ascii="Times New Roman" w:hAnsi="Times New Roman" w:eastAsia="仿宋_GB2312" w:cs="Times New Roman"/>
          <w:i w:val="0"/>
          <w:iCs w:val="0"/>
          <w:caps w:val="0"/>
          <w:snapToGrid w:val="0"/>
          <w:color w:val="auto"/>
          <w:spacing w:val="0"/>
          <w:kern w:val="0"/>
          <w:sz w:val="32"/>
          <w:szCs w:val="32"/>
          <w:highlight w:val="none"/>
          <w:shd w:val="clear" w:color="auto" w:fill="FFFFFF"/>
          <w:lang w:val="en-US" w:eastAsia="zh-CN"/>
        </w:rPr>
        <w:t>等文件规定，</w:t>
      </w:r>
      <w:r>
        <w:rPr>
          <w:rFonts w:hint="default" w:ascii="Times New Roman" w:hAnsi="Times New Roman" w:eastAsia="仿宋_GB2312" w:cs="Times New Roman"/>
          <w:b w:val="0"/>
          <w:bCs w:val="0"/>
          <w:snapToGrid w:val="0"/>
          <w:color w:val="auto"/>
          <w:kern w:val="0"/>
          <w:sz w:val="32"/>
          <w:szCs w:val="32"/>
          <w:highlight w:val="none"/>
          <w:lang w:val="en-US" w:eastAsia="zh-CN"/>
        </w:rPr>
        <w:t>严格履行</w:t>
      </w:r>
      <w:r>
        <w:rPr>
          <w:rFonts w:hint="default" w:ascii="Times New Roman" w:hAnsi="Times New Roman" w:eastAsia="仿宋_GB2312" w:cs="Times New Roman"/>
          <w:b w:val="0"/>
          <w:bCs w:val="0"/>
          <w:snapToGrid w:val="0"/>
          <w:color w:val="auto"/>
          <w:kern w:val="0"/>
          <w:sz w:val="32"/>
          <w:szCs w:val="32"/>
          <w:highlight w:val="none"/>
        </w:rPr>
        <w:t>支出责任</w:t>
      </w:r>
      <w:r>
        <w:rPr>
          <w:rFonts w:hint="default" w:ascii="Times New Roman" w:hAnsi="Times New Roman" w:eastAsia="仿宋_GB2312" w:cs="Times New Roman"/>
          <w:b w:val="0"/>
          <w:bCs w:val="0"/>
          <w:snapToGrid w:val="0"/>
          <w:color w:val="auto"/>
          <w:kern w:val="0"/>
          <w:sz w:val="32"/>
          <w:szCs w:val="32"/>
          <w:highlight w:val="none"/>
          <w:lang w:eastAsia="zh-CN"/>
        </w:rPr>
        <w:t>。</w:t>
      </w:r>
      <w:r>
        <w:rPr>
          <w:rFonts w:hint="default" w:ascii="Times New Roman" w:hAnsi="Times New Roman" w:eastAsia="仿宋_GB2312" w:cs="Times New Roman"/>
          <w:snapToGrid w:val="0"/>
          <w:color w:val="auto"/>
          <w:spacing w:val="0"/>
          <w:kern w:val="0"/>
          <w:sz w:val="32"/>
          <w:szCs w:val="32"/>
          <w:highlight w:val="none"/>
          <w:lang w:val="en-US" w:eastAsia="zh-CN"/>
        </w:rPr>
        <w:t>省财政安排2022年度</w:t>
      </w:r>
      <w:r>
        <w:rPr>
          <w:rFonts w:hint="default" w:ascii="Times New Roman" w:hAnsi="Times New Roman" w:eastAsia="仿宋_GB2312" w:cs="Times New Roman"/>
          <w:snapToGrid w:val="0"/>
          <w:color w:val="auto"/>
          <w:kern w:val="0"/>
          <w:sz w:val="32"/>
          <w:szCs w:val="32"/>
          <w:highlight w:val="none"/>
          <w:lang w:val="en-US" w:eastAsia="zh-CN" w:bidi="ar"/>
        </w:rPr>
        <w:t>基本药物制度</w:t>
      </w:r>
      <w:r>
        <w:rPr>
          <w:rFonts w:hint="default" w:ascii="Times New Roman" w:hAnsi="Times New Roman" w:eastAsia="仿宋_GB2312" w:cs="Times New Roman"/>
          <w:snapToGrid w:val="0"/>
          <w:color w:val="auto"/>
          <w:spacing w:val="0"/>
          <w:kern w:val="0"/>
          <w:sz w:val="32"/>
          <w:szCs w:val="32"/>
          <w:highlight w:val="none"/>
          <w:lang w:val="en-US" w:eastAsia="zh-CN"/>
        </w:rPr>
        <w:t>配套资金10,000.00万元。截至2022年12月31日，</w:t>
      </w:r>
      <w:r>
        <w:rPr>
          <w:rFonts w:hint="default" w:ascii="Times New Roman" w:hAnsi="Times New Roman" w:eastAsia="仿宋_GB2312" w:cs="Times New Roman"/>
          <w:b w:val="0"/>
          <w:bCs w:val="0"/>
          <w:snapToGrid w:val="0"/>
          <w:color w:val="auto"/>
          <w:kern w:val="0"/>
          <w:sz w:val="32"/>
          <w:szCs w:val="32"/>
          <w:highlight w:val="none"/>
          <w:lang w:val="en-US" w:eastAsia="zh-CN"/>
        </w:rPr>
        <w:t>配套</w:t>
      </w:r>
      <w:r>
        <w:rPr>
          <w:rFonts w:hint="default" w:ascii="Times New Roman" w:hAnsi="Times New Roman" w:eastAsia="仿宋_GB2312" w:cs="Times New Roman"/>
          <w:b w:val="0"/>
          <w:bCs w:val="0"/>
          <w:snapToGrid w:val="0"/>
          <w:color w:val="auto"/>
          <w:kern w:val="0"/>
          <w:sz w:val="32"/>
          <w:szCs w:val="32"/>
          <w:highlight w:val="none"/>
        </w:rPr>
        <w:t>资金</w:t>
      </w:r>
      <w:r>
        <w:rPr>
          <w:rFonts w:hint="default" w:ascii="Times New Roman" w:hAnsi="Times New Roman" w:eastAsia="仿宋_GB2312" w:cs="Times New Roman"/>
          <w:b w:val="0"/>
          <w:bCs w:val="0"/>
          <w:snapToGrid w:val="0"/>
          <w:color w:val="auto"/>
          <w:kern w:val="0"/>
          <w:sz w:val="32"/>
          <w:szCs w:val="32"/>
          <w:highlight w:val="none"/>
          <w:lang w:val="en-US" w:eastAsia="zh-CN"/>
        </w:rPr>
        <w:t>已经</w:t>
      </w:r>
      <w:r>
        <w:rPr>
          <w:rFonts w:hint="default" w:ascii="Times New Roman" w:hAnsi="Times New Roman" w:eastAsia="仿宋_GB2312" w:cs="Times New Roman"/>
          <w:b w:val="0"/>
          <w:bCs w:val="0"/>
          <w:snapToGrid w:val="0"/>
          <w:color w:val="auto"/>
          <w:kern w:val="0"/>
          <w:sz w:val="32"/>
          <w:szCs w:val="32"/>
          <w:highlight w:val="none"/>
        </w:rPr>
        <w:t>足额安排</w:t>
      </w:r>
      <w:r>
        <w:rPr>
          <w:rFonts w:hint="default" w:ascii="Times New Roman" w:hAnsi="Times New Roman" w:eastAsia="仿宋_GB2312" w:cs="Times New Roman"/>
          <w:b w:val="0"/>
          <w:bCs w:val="0"/>
          <w:snapToGrid w:val="0"/>
          <w:color w:val="auto"/>
          <w:kern w:val="0"/>
          <w:sz w:val="32"/>
          <w:szCs w:val="32"/>
          <w:highlight w:val="none"/>
          <w:lang w:val="en-US" w:eastAsia="zh-CN"/>
        </w:rPr>
        <w:t>到位</w:t>
      </w:r>
      <w:r>
        <w:rPr>
          <w:rFonts w:hint="default" w:ascii="Times New Roman" w:hAnsi="Times New Roman" w:eastAsia="仿宋_GB2312" w:cs="Times New Roman"/>
          <w:b w:val="0"/>
          <w:bCs w:val="0"/>
          <w:snapToGrid w:val="0"/>
          <w:color w:val="auto"/>
          <w:kern w:val="0"/>
          <w:sz w:val="32"/>
          <w:szCs w:val="32"/>
          <w:highlight w:val="none"/>
          <w:lang w:val="en-US" w:eastAsia="zh-CN" w:bidi="ar"/>
        </w:rPr>
        <w:t>，切实履行</w:t>
      </w:r>
      <w:r>
        <w:rPr>
          <w:rFonts w:hint="default" w:ascii="Times New Roman" w:hAnsi="Times New Roman" w:eastAsia="仿宋_GB2312" w:cs="Times New Roman"/>
          <w:i w:val="0"/>
          <w:iCs w:val="0"/>
          <w:caps w:val="0"/>
          <w:snapToGrid w:val="0"/>
          <w:color w:val="auto"/>
          <w:spacing w:val="0"/>
          <w:kern w:val="0"/>
          <w:sz w:val="32"/>
          <w:szCs w:val="32"/>
          <w:highlight w:val="none"/>
          <w:shd w:val="clear" w:color="auto" w:fill="FFFFFF"/>
        </w:rPr>
        <w:t>财政事权</w:t>
      </w:r>
      <w:r>
        <w:rPr>
          <w:rFonts w:hint="default" w:ascii="Times New Roman" w:hAnsi="Times New Roman" w:eastAsia="仿宋_GB2312" w:cs="Times New Roman"/>
          <w:b w:val="0"/>
          <w:bCs w:val="0"/>
          <w:snapToGrid w:val="0"/>
          <w:color w:val="auto"/>
          <w:kern w:val="0"/>
          <w:sz w:val="32"/>
          <w:szCs w:val="32"/>
          <w:highlight w:val="none"/>
        </w:rPr>
        <w:t>支出责任</w:t>
      </w:r>
      <w:r>
        <w:rPr>
          <w:rFonts w:hint="default" w:ascii="Times New Roman" w:hAnsi="Times New Roman" w:eastAsia="仿宋_GB2312" w:cs="Times New Roman"/>
          <w:b w:val="0"/>
          <w:bCs w:val="0"/>
          <w:i w:val="0"/>
          <w:iCs w:val="0"/>
          <w:caps w:val="0"/>
          <w:snapToGrid w:val="0"/>
          <w:color w:val="auto"/>
          <w:spacing w:val="0"/>
          <w:kern w:val="0"/>
          <w:sz w:val="32"/>
          <w:szCs w:val="32"/>
          <w:highlight w:val="none"/>
          <w:shd w:val="clear" w:color="auto" w:fill="FFFFFF"/>
          <w:lang w:eastAsia="zh-CN"/>
        </w:rPr>
        <w:t>。</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firstLine="643" w:firstLineChars="201"/>
        <w:jc w:val="both"/>
        <w:textAlignment w:val="auto"/>
        <w:outlineLvl w:val="0"/>
        <w:rPr>
          <w:rFonts w:hint="eastAsia" w:ascii="楷体_GB2312" w:hAnsi="楷体_GB2312" w:eastAsia="楷体_GB2312" w:cs="楷体_GB2312"/>
          <w:b w:val="0"/>
          <w:bCs w:val="0"/>
          <w:snapToGrid w:val="0"/>
          <w:color w:val="auto"/>
          <w:kern w:val="0"/>
          <w:sz w:val="32"/>
          <w:szCs w:val="32"/>
          <w:highlight w:val="none"/>
          <w:lang w:eastAsia="zh-CN"/>
        </w:rPr>
      </w:pPr>
      <w:r>
        <w:rPr>
          <w:rFonts w:hint="eastAsia" w:ascii="楷体_GB2312" w:hAnsi="楷体_GB2312" w:eastAsia="楷体_GB2312" w:cs="楷体_GB2312"/>
          <w:b w:val="0"/>
          <w:bCs w:val="0"/>
          <w:snapToGrid w:val="0"/>
          <w:color w:val="auto"/>
          <w:kern w:val="0"/>
          <w:sz w:val="32"/>
          <w:szCs w:val="32"/>
          <w:highlight w:val="none"/>
        </w:rPr>
        <w:t>（</w:t>
      </w:r>
      <w:r>
        <w:rPr>
          <w:rFonts w:hint="eastAsia" w:ascii="楷体_GB2312" w:hAnsi="楷体_GB2312" w:eastAsia="楷体_GB2312" w:cs="楷体_GB2312"/>
          <w:b w:val="0"/>
          <w:bCs w:val="0"/>
          <w:snapToGrid w:val="0"/>
          <w:color w:val="auto"/>
          <w:kern w:val="0"/>
          <w:sz w:val="32"/>
          <w:szCs w:val="32"/>
          <w:highlight w:val="none"/>
          <w:lang w:val="en-US" w:eastAsia="zh-CN"/>
        </w:rPr>
        <w:t>三</w:t>
      </w:r>
      <w:r>
        <w:rPr>
          <w:rFonts w:hint="eastAsia" w:ascii="楷体_GB2312" w:hAnsi="楷体_GB2312" w:eastAsia="楷体_GB2312" w:cs="楷体_GB2312"/>
          <w:b w:val="0"/>
          <w:bCs w:val="0"/>
          <w:snapToGrid w:val="0"/>
          <w:color w:val="auto"/>
          <w:kern w:val="0"/>
          <w:sz w:val="32"/>
          <w:szCs w:val="32"/>
          <w:highlight w:val="none"/>
        </w:rPr>
        <w:t>）总体绩效目标完成情况分析</w:t>
      </w:r>
      <w:r>
        <w:rPr>
          <w:rFonts w:hint="eastAsia" w:ascii="楷体_GB2312" w:hAnsi="楷体_GB2312" w:eastAsia="楷体_GB2312" w:cs="楷体_GB2312"/>
          <w:b w:val="0"/>
          <w:bCs w:val="0"/>
          <w:snapToGrid w:val="0"/>
          <w:color w:val="auto"/>
          <w:kern w:val="0"/>
          <w:sz w:val="32"/>
          <w:szCs w:val="32"/>
          <w:highlight w:val="none"/>
          <w:lang w:eastAsia="zh-CN"/>
        </w:rPr>
        <w:t>。</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b w:val="0"/>
          <w:bCs w:val="0"/>
          <w:snapToGrid w:val="0"/>
          <w:color w:val="auto"/>
          <w:kern w:val="0"/>
          <w:sz w:val="32"/>
          <w:szCs w:val="32"/>
          <w:highlight w:val="none"/>
          <w:lang w:val="en-US" w:eastAsia="zh-CN" w:bidi="ar"/>
        </w:rPr>
      </w:pPr>
      <w:r>
        <w:rPr>
          <w:rFonts w:hint="default" w:ascii="Times New Roman" w:hAnsi="Times New Roman" w:eastAsia="仿宋_GB2312" w:cs="Times New Roman"/>
          <w:snapToGrid w:val="0"/>
          <w:color w:val="auto"/>
          <w:kern w:val="0"/>
          <w:sz w:val="32"/>
          <w:szCs w:val="32"/>
          <w:highlight w:val="none"/>
          <w:lang w:val="en-US" w:eastAsia="zh-CN"/>
        </w:rPr>
        <w:t>国家基本药物制度</w:t>
      </w:r>
      <w:r>
        <w:rPr>
          <w:rFonts w:hint="default" w:ascii="Times New Roman" w:hAnsi="Times New Roman" w:eastAsia="仿宋_GB2312" w:cs="Times New Roman"/>
          <w:snapToGrid w:val="0"/>
          <w:color w:val="auto"/>
          <w:kern w:val="0"/>
          <w:sz w:val="32"/>
          <w:szCs w:val="32"/>
          <w:highlight w:val="none"/>
          <w:lang w:eastAsia="zh-CN"/>
        </w:rPr>
        <w:t>资金</w:t>
      </w:r>
      <w:r>
        <w:rPr>
          <w:rFonts w:hint="default" w:ascii="Times New Roman" w:hAnsi="Times New Roman" w:eastAsia="仿宋_GB2312" w:cs="Times New Roman"/>
          <w:snapToGrid w:val="0"/>
          <w:color w:val="auto"/>
          <w:kern w:val="0"/>
          <w:sz w:val="32"/>
          <w:szCs w:val="32"/>
          <w:highlight w:val="none"/>
          <w:lang w:val="en-US" w:eastAsia="zh-CN"/>
        </w:rPr>
        <w:t>实施以来，对我省基层医疗卫生机构清理化解历史债务、弥补政策改革造成的亏损及建立健全财政投入保障机制等方面发挥了重要作用，促进和引导地方财政加大对基层医疗卫生机构的投入，推动各地有效改革完善基本药物制度，是“保基本、强基层、建机制”的一项重要举措。截至2022年底，我省</w:t>
      </w:r>
      <w:r>
        <w:rPr>
          <w:rFonts w:hint="default" w:ascii="Times New Roman" w:hAnsi="Times New Roman" w:eastAsia="仿宋_GB2312" w:cs="Times New Roman"/>
          <w:snapToGrid w:val="0"/>
          <w:color w:val="auto"/>
          <w:kern w:val="0"/>
          <w:sz w:val="32"/>
          <w:szCs w:val="32"/>
          <w:highlight w:val="none"/>
          <w:lang w:val="en-US" w:eastAsia="zh-CN" w:bidi="ar"/>
        </w:rPr>
        <w:t>基本药物制度在政府办基层医疗卫生机构和行政村卫生站达到100%,基本药物的配备使用率不断提高。据统计，全省政府办基层医疗卫生机构基本药物采购配备品种数占比已达到66%的标准（较上年度提高6%），基层医疗卫生机构药品供应保障水平有所提高；乡村医生收入在政策扶持下保持稳定，国家基本药物制度在基层持续稳定实施；基层医疗卫生机构服务水平得到提升；</w:t>
      </w:r>
      <w:r>
        <w:rPr>
          <w:rFonts w:hint="default" w:ascii="Times New Roman" w:hAnsi="Times New Roman" w:eastAsia="仿宋_GB2312" w:cs="Times New Roman"/>
          <w:snapToGrid w:val="0"/>
          <w:color w:val="auto"/>
          <w:kern w:val="0"/>
          <w:sz w:val="32"/>
          <w:szCs w:val="32"/>
          <w:highlight w:val="none"/>
          <w:lang w:val="en-US" w:eastAsia="zh-CN"/>
        </w:rPr>
        <w:t>根据国家卫生健康委、国家中医药局关于开展“优质服务基层行”活动的系列通知，为继续深入开展“优质服务基层行”活动，不断提升我省基层医疗卫生机构服务能力，促进分级诊疗，我委高度重视，2022年4月份印发了</w:t>
      </w:r>
      <w:r>
        <w:rPr>
          <w:rFonts w:hint="default" w:ascii="Times New Roman" w:hAnsi="Times New Roman" w:eastAsia="仿宋_GB2312" w:cs="Times New Roman"/>
          <w:snapToGrid w:val="0"/>
          <w:color w:val="auto"/>
          <w:kern w:val="0"/>
          <w:sz w:val="32"/>
          <w:szCs w:val="32"/>
          <w:highlight w:val="none"/>
          <w:lang w:eastAsia="zh-CN"/>
        </w:rPr>
        <w:t>《</w:t>
      </w:r>
      <w:r>
        <w:rPr>
          <w:rFonts w:hint="default" w:ascii="Times New Roman" w:hAnsi="Times New Roman" w:eastAsia="仿宋_GB2312" w:cs="Times New Roman"/>
          <w:snapToGrid w:val="0"/>
          <w:color w:val="auto"/>
          <w:kern w:val="0"/>
          <w:sz w:val="32"/>
          <w:szCs w:val="32"/>
          <w:highlight w:val="none"/>
          <w:lang w:val="en-US" w:eastAsia="zh-CN"/>
        </w:rPr>
        <w:t>关于做好2022年优质服务基层行活动省级评价的通知</w:t>
      </w:r>
      <w:r>
        <w:rPr>
          <w:rFonts w:hint="default" w:ascii="Times New Roman" w:hAnsi="Times New Roman" w:eastAsia="仿宋_GB2312" w:cs="Times New Roman"/>
          <w:snapToGrid w:val="0"/>
          <w:color w:val="auto"/>
          <w:kern w:val="0"/>
          <w:sz w:val="32"/>
          <w:szCs w:val="32"/>
          <w:highlight w:val="none"/>
          <w:lang w:eastAsia="zh-CN"/>
        </w:rPr>
        <w:t>》</w:t>
      </w:r>
      <w:r>
        <w:rPr>
          <w:rFonts w:hint="default" w:ascii="Times New Roman" w:hAnsi="Times New Roman" w:eastAsia="仿宋_GB2312" w:cs="Times New Roman"/>
          <w:snapToGrid w:val="0"/>
          <w:color w:val="auto"/>
          <w:kern w:val="0"/>
          <w:sz w:val="32"/>
          <w:szCs w:val="32"/>
          <w:highlight w:val="none"/>
          <w:lang w:val="en-US" w:eastAsia="zh-CN"/>
        </w:rPr>
        <w:t>，要求以“强基层”为目标、“提能力”为导向、“优服务”为抓手，加强新冠肺炎防控工作，强化疾病预防控制和突发公共卫生事件管理能力建设，高标准、高质量、高速度推进基层医疗卫生机构规范化建设，持续提升医疗卫生服务能力，扎实开展“优质服务基层行”活动</w:t>
      </w:r>
      <w:r>
        <w:rPr>
          <w:rFonts w:hint="default" w:ascii="Times New Roman" w:hAnsi="Times New Roman" w:eastAsia="仿宋_GB2312" w:cs="Times New Roman"/>
          <w:b w:val="0"/>
          <w:bCs w:val="0"/>
          <w:snapToGrid w:val="0"/>
          <w:color w:val="auto"/>
          <w:kern w:val="0"/>
          <w:sz w:val="32"/>
          <w:szCs w:val="32"/>
          <w:highlight w:val="none"/>
          <w:lang w:val="en-US" w:eastAsia="zh-CN"/>
        </w:rPr>
        <w:t>，</w:t>
      </w:r>
      <w:r>
        <w:rPr>
          <w:rFonts w:hint="default" w:ascii="Times New Roman" w:hAnsi="Times New Roman" w:eastAsia="仿宋_GB2312" w:cs="Times New Roman"/>
          <w:b w:val="0"/>
          <w:bCs w:val="0"/>
          <w:snapToGrid w:val="0"/>
          <w:color w:val="auto"/>
          <w:kern w:val="0"/>
          <w:sz w:val="32"/>
          <w:szCs w:val="32"/>
          <w:highlight w:val="none"/>
          <w:lang w:val="en-US" w:eastAsia="zh-CN" w:bidi="ar"/>
        </w:rPr>
        <w:t>基层医疗卫生机构服务质量进一步提高。</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b w:val="0"/>
          <w:bCs w:val="0"/>
          <w:snapToGrid w:val="0"/>
          <w:color w:val="auto"/>
          <w:kern w:val="0"/>
          <w:sz w:val="32"/>
          <w:szCs w:val="32"/>
          <w:highlight w:val="none"/>
          <w:lang w:val="en-US" w:eastAsia="zh-CN" w:bidi="ar"/>
        </w:rPr>
        <w:t>紧密型医共体等基层卫生综合改革在县域内稳步推进，</w:t>
      </w:r>
      <w:r>
        <w:rPr>
          <w:rFonts w:hint="default" w:ascii="Times New Roman" w:hAnsi="Times New Roman" w:eastAsia="仿宋_GB2312" w:cs="Times New Roman"/>
          <w:snapToGrid w:val="0"/>
          <w:color w:val="auto"/>
          <w:kern w:val="0"/>
          <w:sz w:val="32"/>
          <w:szCs w:val="32"/>
          <w:highlight w:val="none"/>
          <w:lang w:val="en-US" w:eastAsia="zh-CN" w:bidi="ar"/>
        </w:rPr>
        <w:t>全省县域医共体功能形态日趋健全，运行管理模式持续优化，以县医院为龙头带动乡镇卫生院的县镇一体化工作机制和激励机制基本形成，各种资源下沉基层，分级诊疗进一步落实，为当地群众提供更加优质高效、分级有序、分工协作的“一盘棋一家人一本账”的县域整合型服务体系初步建立。老百姓得到真真正正的实惠，偏远乡镇的群众在家门口就能享受比以前更加优质的医疗卫生资源，用上过去到县医院才能用到的药品和服务，在乡镇卫生院就能得到上级医院专家的联合会诊和查房，乡村群众在家门口享受到优质高效医疗服务，以较少的个人支出得到更好的诊疗效果，就医体验和健康获得感明显提升。</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firstLine="643" w:firstLineChars="201"/>
        <w:jc w:val="both"/>
        <w:textAlignment w:val="auto"/>
        <w:outlineLvl w:val="0"/>
        <w:rPr>
          <w:rFonts w:hint="eastAsia" w:ascii="楷体_GB2312" w:hAnsi="楷体_GB2312" w:eastAsia="楷体_GB2312" w:cs="楷体_GB2312"/>
          <w:b w:val="0"/>
          <w:bCs w:val="0"/>
          <w:snapToGrid w:val="0"/>
          <w:color w:val="auto"/>
          <w:kern w:val="0"/>
          <w:sz w:val="32"/>
          <w:szCs w:val="32"/>
          <w:highlight w:val="none"/>
          <w:lang w:eastAsia="zh-CN"/>
        </w:rPr>
      </w:pPr>
      <w:r>
        <w:rPr>
          <w:rFonts w:hint="default" w:ascii="楷体_GB2312" w:hAnsi="楷体_GB2312" w:eastAsia="楷体_GB2312" w:cs="楷体_GB2312"/>
          <w:b w:val="0"/>
          <w:bCs w:val="0"/>
          <w:snapToGrid w:val="0"/>
          <w:color w:val="auto"/>
          <w:kern w:val="0"/>
          <w:sz w:val="32"/>
          <w:szCs w:val="32"/>
          <w:highlight w:val="none"/>
        </w:rPr>
        <w:t>（</w:t>
      </w:r>
      <w:r>
        <w:rPr>
          <w:rFonts w:hint="default" w:ascii="楷体_GB2312" w:hAnsi="楷体_GB2312" w:eastAsia="楷体_GB2312" w:cs="楷体_GB2312"/>
          <w:b w:val="0"/>
          <w:bCs w:val="0"/>
          <w:snapToGrid w:val="0"/>
          <w:color w:val="auto"/>
          <w:kern w:val="0"/>
          <w:sz w:val="32"/>
          <w:szCs w:val="32"/>
          <w:highlight w:val="none"/>
          <w:lang w:val="en-US" w:eastAsia="zh-CN"/>
        </w:rPr>
        <w:t>四</w:t>
      </w:r>
      <w:r>
        <w:rPr>
          <w:rFonts w:hint="default" w:ascii="楷体_GB2312" w:hAnsi="楷体_GB2312" w:eastAsia="楷体_GB2312" w:cs="楷体_GB2312"/>
          <w:b w:val="0"/>
          <w:bCs w:val="0"/>
          <w:snapToGrid w:val="0"/>
          <w:color w:val="auto"/>
          <w:kern w:val="0"/>
          <w:sz w:val="32"/>
          <w:szCs w:val="32"/>
          <w:highlight w:val="none"/>
        </w:rPr>
        <w:t>）绩效指标完成情况分析</w:t>
      </w:r>
      <w:r>
        <w:rPr>
          <w:rFonts w:hint="eastAsia" w:ascii="楷体_GB2312" w:hAnsi="楷体_GB2312" w:eastAsia="楷体_GB2312" w:cs="楷体_GB2312"/>
          <w:b w:val="0"/>
          <w:bCs w:val="0"/>
          <w:snapToGrid w:val="0"/>
          <w:color w:val="auto"/>
          <w:kern w:val="0"/>
          <w:sz w:val="32"/>
          <w:szCs w:val="32"/>
          <w:highlight w:val="none"/>
          <w:lang w:eastAsia="zh-CN"/>
        </w:rPr>
        <w:t>。</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646" w:firstLineChars="201"/>
        <w:jc w:val="both"/>
        <w:textAlignment w:val="auto"/>
        <w:rPr>
          <w:rFonts w:hint="default" w:ascii="Times New Roman" w:hAnsi="Times New Roman" w:eastAsia="仿宋_GB2312" w:cs="Times New Roman"/>
          <w:b/>
          <w:bCs/>
          <w:snapToGrid w:val="0"/>
          <w:color w:val="auto"/>
          <w:kern w:val="0"/>
          <w:sz w:val="32"/>
          <w:szCs w:val="32"/>
          <w:highlight w:val="none"/>
        </w:rPr>
      </w:pPr>
      <w:r>
        <w:rPr>
          <w:rFonts w:hint="default" w:ascii="Times New Roman" w:hAnsi="Times New Roman" w:eastAsia="仿宋_GB2312" w:cs="Times New Roman"/>
          <w:b/>
          <w:bCs/>
          <w:snapToGrid w:val="0"/>
          <w:color w:val="auto"/>
          <w:kern w:val="0"/>
          <w:sz w:val="32"/>
          <w:szCs w:val="32"/>
          <w:highlight w:val="none"/>
        </w:rPr>
        <w:t>1</w:t>
      </w:r>
      <w:r>
        <w:rPr>
          <w:rFonts w:hint="eastAsia" w:ascii="仿宋_GB2312" w:hAnsi="仿宋_GB2312" w:eastAsia="仿宋_GB2312" w:cs="仿宋_GB2312"/>
          <w:b/>
          <w:bCs/>
          <w:snapToGrid w:val="0"/>
          <w:color w:val="auto"/>
          <w:kern w:val="0"/>
          <w:sz w:val="32"/>
          <w:szCs w:val="32"/>
          <w:highlight w:val="none"/>
          <w:lang w:val="en-US" w:eastAsia="zh-CN"/>
        </w:rPr>
        <w:t>.</w:t>
      </w:r>
      <w:r>
        <w:rPr>
          <w:rFonts w:hint="default" w:ascii="Times New Roman" w:hAnsi="Times New Roman" w:eastAsia="仿宋_GB2312" w:cs="Times New Roman"/>
          <w:b/>
          <w:bCs/>
          <w:snapToGrid w:val="0"/>
          <w:color w:val="auto"/>
          <w:kern w:val="0"/>
          <w:sz w:val="32"/>
          <w:szCs w:val="32"/>
          <w:highlight w:val="none"/>
          <w:lang w:eastAsia="zh-CN"/>
        </w:rPr>
        <w:t>产出指标</w:t>
      </w:r>
      <w:r>
        <w:rPr>
          <w:rFonts w:hint="eastAsia" w:cs="Times New Roman"/>
          <w:b/>
          <w:bCs/>
          <w:snapToGrid w:val="0"/>
          <w:color w:val="auto"/>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3" w:firstLineChars="200"/>
        <w:jc w:val="both"/>
        <w:textAlignment w:val="auto"/>
        <w:rPr>
          <w:rFonts w:hint="default" w:ascii="Times New Roman" w:hAnsi="Times New Roman" w:eastAsia="仿宋_GB2312" w:cs="Times New Roman"/>
          <w:snapToGrid w:val="0"/>
          <w:color w:val="auto"/>
          <w:kern w:val="0"/>
          <w:sz w:val="32"/>
          <w:szCs w:val="32"/>
          <w:highlight w:val="none"/>
          <w:lang w:val="en-US" w:eastAsia="zh-CN"/>
        </w:rPr>
      </w:pPr>
      <w:r>
        <w:rPr>
          <w:rFonts w:hint="default" w:ascii="Times New Roman" w:hAnsi="Times New Roman" w:eastAsia="仿宋_GB2312" w:cs="Times New Roman"/>
          <w:b/>
          <w:bCs/>
          <w:snapToGrid w:val="0"/>
          <w:color w:val="auto"/>
          <w:kern w:val="0"/>
          <w:sz w:val="32"/>
          <w:szCs w:val="32"/>
          <w:highlight w:val="none"/>
          <w:lang w:val="en-US" w:eastAsia="zh-CN"/>
        </w:rPr>
        <w:t>指标1</w:t>
      </w:r>
      <w:r>
        <w:rPr>
          <w:rFonts w:hint="default" w:ascii="Times New Roman" w:hAnsi="Times New Roman" w:eastAsia="仿宋_GB2312" w:cs="Times New Roman"/>
          <w:snapToGrid w:val="0"/>
          <w:color w:val="auto"/>
          <w:kern w:val="0"/>
          <w:sz w:val="32"/>
          <w:szCs w:val="32"/>
          <w:highlight w:val="none"/>
          <w:lang w:val="en-US" w:eastAsia="zh-CN"/>
        </w:rPr>
        <w:t xml:space="preserve"> 实施基本药物制度的政府办基层医疗卫生机构占比。</w:t>
      </w:r>
      <w:r>
        <w:rPr>
          <w:rFonts w:hint="default" w:ascii="Times New Roman" w:hAnsi="Times New Roman" w:eastAsia="仿宋_GB2312" w:cs="Times New Roman"/>
          <w:snapToGrid w:val="0"/>
          <w:color w:val="auto"/>
          <w:kern w:val="0"/>
          <w:sz w:val="32"/>
          <w:szCs w:val="32"/>
          <w:highlight w:val="none"/>
          <w:lang w:eastAsia="zh-CN"/>
        </w:rPr>
        <w:t>我省加快推进基层医疗卫生机构综合改革,深入推进基层医疗卫生机构人事制度及分配制度改革,建立健全基层医疗卫生机构多渠</w:t>
      </w:r>
      <w:r>
        <w:rPr>
          <w:rFonts w:hint="default" w:ascii="Times New Roman" w:hAnsi="Times New Roman" w:eastAsia="仿宋_GB2312" w:cs="Times New Roman"/>
          <w:snapToGrid w:val="0"/>
          <w:color w:val="auto"/>
          <w:kern w:val="0"/>
          <w:sz w:val="32"/>
          <w:szCs w:val="32"/>
          <w:highlight w:val="none"/>
        </w:rPr>
        <w:t>道补偿机制</w:t>
      </w:r>
      <w:r>
        <w:rPr>
          <w:rFonts w:hint="default" w:ascii="Times New Roman" w:hAnsi="Times New Roman" w:eastAsia="仿宋_GB2312" w:cs="Times New Roman"/>
          <w:snapToGrid w:val="0"/>
          <w:color w:val="auto"/>
          <w:kern w:val="0"/>
          <w:sz w:val="32"/>
          <w:szCs w:val="32"/>
          <w:highlight w:val="none"/>
          <w:lang w:eastAsia="zh-CN"/>
        </w:rPr>
        <w:t>，全省所有政府办基层医疗卫生机构均按要求实施国家基本药物制度，</w:t>
      </w:r>
      <w:r>
        <w:rPr>
          <w:rFonts w:hint="default" w:ascii="Times New Roman" w:hAnsi="Times New Roman" w:eastAsia="仿宋_GB2312" w:cs="Times New Roman"/>
          <w:snapToGrid w:val="0"/>
          <w:color w:val="auto"/>
          <w:kern w:val="0"/>
          <w:sz w:val="32"/>
          <w:szCs w:val="32"/>
          <w:highlight w:val="none"/>
          <w:lang w:val="en-US" w:eastAsia="zh-CN"/>
        </w:rPr>
        <w:t>实施基本药物制度的政府办基层医疗卫生机构占比100%，实现预期目标（100%）。</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3" w:firstLineChars="200"/>
        <w:jc w:val="both"/>
        <w:textAlignment w:val="auto"/>
        <w:rPr>
          <w:rFonts w:hint="default" w:ascii="Times New Roman" w:hAnsi="Times New Roman" w:eastAsia="仿宋_GB2312" w:cs="Times New Roman"/>
          <w:snapToGrid w:val="0"/>
          <w:color w:val="auto"/>
          <w:kern w:val="0"/>
          <w:sz w:val="32"/>
          <w:szCs w:val="32"/>
          <w:highlight w:val="none"/>
          <w:lang w:val="en-US" w:eastAsia="zh-CN"/>
        </w:rPr>
      </w:pPr>
      <w:r>
        <w:rPr>
          <w:rFonts w:hint="default" w:ascii="Times New Roman" w:hAnsi="Times New Roman" w:eastAsia="仿宋_GB2312" w:cs="Times New Roman"/>
          <w:b/>
          <w:bCs/>
          <w:snapToGrid w:val="0"/>
          <w:color w:val="auto"/>
          <w:kern w:val="0"/>
          <w:sz w:val="32"/>
          <w:szCs w:val="32"/>
          <w:highlight w:val="none"/>
          <w:lang w:val="en-US" w:eastAsia="zh-CN"/>
        </w:rPr>
        <w:t>指标2</w:t>
      </w:r>
      <w:r>
        <w:rPr>
          <w:rFonts w:hint="default" w:ascii="Times New Roman" w:hAnsi="Times New Roman" w:eastAsia="仿宋_GB2312" w:cs="Times New Roman"/>
          <w:snapToGrid w:val="0"/>
          <w:color w:val="auto"/>
          <w:kern w:val="0"/>
          <w:sz w:val="32"/>
          <w:szCs w:val="32"/>
          <w:highlight w:val="none"/>
          <w:lang w:val="en-US" w:eastAsia="zh-CN"/>
        </w:rPr>
        <w:t xml:space="preserve"> 实施基本药物制度村卫生室占比。</w:t>
      </w:r>
      <w:r>
        <w:rPr>
          <w:rFonts w:hint="default" w:ascii="Times New Roman" w:hAnsi="Times New Roman" w:eastAsia="仿宋_GB2312" w:cs="Times New Roman"/>
          <w:snapToGrid w:val="0"/>
          <w:color w:val="auto"/>
          <w:kern w:val="0"/>
          <w:sz w:val="32"/>
          <w:szCs w:val="32"/>
          <w:highlight w:val="none"/>
          <w:lang w:eastAsia="zh-CN"/>
        </w:rPr>
        <w:t>我省有序推进村卫生站实施基本药物制度，提高村卫生站医疗服务能力，</w:t>
      </w:r>
      <w:r>
        <w:rPr>
          <w:rFonts w:hint="default" w:ascii="Times New Roman" w:hAnsi="Times New Roman" w:eastAsia="仿宋_GB2312" w:cs="Times New Roman"/>
          <w:snapToGrid w:val="0"/>
          <w:color w:val="auto"/>
          <w:kern w:val="0"/>
          <w:sz w:val="32"/>
          <w:szCs w:val="32"/>
          <w:highlight w:val="none"/>
          <w:lang w:val="en-US" w:eastAsia="zh-CN"/>
        </w:rPr>
        <w:t>全省行政村卫生站实施国家基本药物制度零差率销售基本药物，实施基本药物制度村卫生室占比100%</w:t>
      </w:r>
      <w:r>
        <w:rPr>
          <w:rFonts w:hint="default" w:ascii="Times New Roman" w:hAnsi="Times New Roman" w:eastAsia="仿宋_GB2312" w:cs="Times New Roman"/>
          <w:snapToGrid w:val="0"/>
          <w:color w:val="auto"/>
          <w:kern w:val="0"/>
          <w:sz w:val="32"/>
          <w:szCs w:val="32"/>
          <w:highlight w:val="none"/>
          <w:lang w:eastAsia="zh-CN"/>
        </w:rPr>
        <w:t>，</w:t>
      </w:r>
      <w:r>
        <w:rPr>
          <w:rFonts w:hint="default" w:ascii="Times New Roman" w:hAnsi="Times New Roman" w:eastAsia="仿宋_GB2312" w:cs="Times New Roman"/>
          <w:snapToGrid w:val="0"/>
          <w:color w:val="auto"/>
          <w:kern w:val="0"/>
          <w:sz w:val="32"/>
          <w:szCs w:val="32"/>
          <w:highlight w:val="none"/>
          <w:lang w:val="en-US" w:eastAsia="zh-CN"/>
        </w:rPr>
        <w:t>实现预期目标（100%）。</w:t>
      </w:r>
    </w:p>
    <w:p>
      <w:pPr>
        <w:pStyle w:val="8"/>
        <w:keepNext w:val="0"/>
        <w:keepLines w:val="0"/>
        <w:pageBreakBefore w:val="0"/>
        <w:widowControl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snapToGrid w:val="0"/>
          <w:color w:val="auto"/>
          <w:kern w:val="0"/>
          <w:sz w:val="32"/>
          <w:szCs w:val="32"/>
          <w:highlight w:val="none"/>
          <w:lang w:val="en-US" w:eastAsia="zh-CN" w:bidi="ar-SA"/>
        </w:rPr>
      </w:pPr>
      <w:r>
        <w:rPr>
          <w:rFonts w:hint="default" w:ascii="Times New Roman" w:hAnsi="Times New Roman" w:eastAsia="仿宋_GB2312" w:cs="Times New Roman"/>
          <w:b/>
          <w:bCs/>
          <w:snapToGrid w:val="0"/>
          <w:color w:val="auto"/>
          <w:kern w:val="0"/>
          <w:sz w:val="32"/>
          <w:szCs w:val="32"/>
          <w:highlight w:val="none"/>
          <w:lang w:val="en-US" w:eastAsia="zh-CN"/>
        </w:rPr>
        <w:t xml:space="preserve">指标3 </w:t>
      </w:r>
      <w:r>
        <w:rPr>
          <w:rFonts w:hint="default" w:ascii="Times New Roman" w:hAnsi="Times New Roman" w:eastAsia="仿宋_GB2312" w:cs="Times New Roman"/>
          <w:b w:val="0"/>
          <w:bCs w:val="0"/>
          <w:snapToGrid w:val="0"/>
          <w:color w:val="auto"/>
          <w:kern w:val="0"/>
          <w:sz w:val="32"/>
          <w:szCs w:val="32"/>
          <w:highlight w:val="none"/>
          <w:lang w:val="en-US" w:eastAsia="zh-CN"/>
        </w:rPr>
        <w:t>基层医疗卫生机构“优质服务基层行”活动开展评价机构数比例。根据省卫生健康委基层处提供表格数据统计，2022年，</w:t>
      </w:r>
      <w:r>
        <w:rPr>
          <w:rFonts w:hint="default" w:ascii="Times New Roman" w:hAnsi="Times New Roman" w:eastAsia="仿宋_GB2312" w:cs="Times New Roman"/>
          <w:snapToGrid w:val="0"/>
          <w:color w:val="auto"/>
          <w:kern w:val="0"/>
          <w:sz w:val="32"/>
          <w:szCs w:val="32"/>
          <w:highlight w:val="none"/>
          <w:lang w:val="en-US" w:eastAsia="zh-CN" w:bidi="ar-SA"/>
        </w:rPr>
        <w:t>基层医疗卫生机构“优质服务基层行”活动</w:t>
      </w:r>
      <w:r>
        <w:rPr>
          <w:rFonts w:hint="default" w:ascii="Times New Roman" w:hAnsi="Times New Roman" w:eastAsia="仿宋_GB2312" w:cs="Times New Roman"/>
          <w:b w:val="0"/>
          <w:bCs w:val="0"/>
          <w:snapToGrid w:val="0"/>
          <w:color w:val="auto"/>
          <w:kern w:val="0"/>
          <w:sz w:val="32"/>
          <w:szCs w:val="32"/>
          <w:highlight w:val="none"/>
          <w:lang w:val="en-US" w:eastAsia="zh-CN"/>
        </w:rPr>
        <w:t>开展评价机构</w:t>
      </w:r>
      <w:r>
        <w:rPr>
          <w:rFonts w:hint="default" w:ascii="Times New Roman" w:hAnsi="Times New Roman" w:eastAsia="仿宋_GB2312" w:cs="Times New Roman"/>
          <w:snapToGrid w:val="0"/>
          <w:color w:val="auto"/>
          <w:kern w:val="0"/>
          <w:sz w:val="32"/>
          <w:szCs w:val="32"/>
          <w:highlight w:val="none"/>
          <w:lang w:val="en-US" w:eastAsia="zh-CN" w:bidi="ar-SA"/>
        </w:rPr>
        <w:t>涵盖</w:t>
      </w:r>
      <w:r>
        <w:rPr>
          <w:rFonts w:hint="default" w:ascii="Times New Roman" w:hAnsi="Times New Roman" w:eastAsia="仿宋_GB2312" w:cs="Times New Roman"/>
          <w:snapToGrid w:val="0"/>
          <w:color w:val="auto"/>
          <w:kern w:val="0"/>
          <w:sz w:val="32"/>
          <w:szCs w:val="32"/>
          <w:highlight w:val="none"/>
          <w:lang w:eastAsia="zh-CN"/>
        </w:rPr>
        <w:t>全省所有政府办基层医疗卫生机构，</w:t>
      </w:r>
      <w:r>
        <w:rPr>
          <w:rFonts w:hint="default" w:ascii="Times New Roman" w:hAnsi="Times New Roman" w:eastAsia="仿宋_GB2312" w:cs="Times New Roman"/>
          <w:b w:val="0"/>
          <w:bCs w:val="0"/>
          <w:snapToGrid w:val="0"/>
          <w:color w:val="auto"/>
          <w:kern w:val="0"/>
          <w:sz w:val="32"/>
          <w:szCs w:val="32"/>
          <w:highlight w:val="none"/>
          <w:lang w:val="en-US" w:eastAsia="zh-CN"/>
        </w:rPr>
        <w:t>基层医疗卫生机构“优质服务基层行”活动开展评价机构数比例</w:t>
      </w:r>
      <w:r>
        <w:rPr>
          <w:rFonts w:hint="default" w:ascii="Times New Roman" w:hAnsi="Times New Roman" w:eastAsia="仿宋_GB2312" w:cs="Times New Roman"/>
          <w:snapToGrid w:val="0"/>
          <w:color w:val="auto"/>
          <w:kern w:val="0"/>
          <w:sz w:val="32"/>
          <w:szCs w:val="32"/>
          <w:highlight w:val="none"/>
          <w:lang w:val="en-US" w:eastAsia="zh-CN" w:bidi="ar-SA"/>
        </w:rPr>
        <w:t>实际完成值为100%</w:t>
      </w:r>
      <w:r>
        <w:rPr>
          <w:rFonts w:hint="default" w:ascii="Times New Roman" w:hAnsi="Times New Roman" w:eastAsia="仿宋_GB2312" w:cs="Times New Roman"/>
          <w:snapToGrid w:val="0"/>
          <w:color w:val="auto"/>
          <w:kern w:val="0"/>
          <w:sz w:val="32"/>
          <w:szCs w:val="32"/>
          <w:highlight w:val="none"/>
          <w:lang w:eastAsia="zh-CN"/>
        </w:rPr>
        <w:t>，</w:t>
      </w:r>
      <w:r>
        <w:rPr>
          <w:rFonts w:hint="default" w:ascii="Times New Roman" w:hAnsi="Times New Roman" w:eastAsia="仿宋_GB2312" w:cs="Times New Roman"/>
          <w:snapToGrid w:val="0"/>
          <w:color w:val="auto"/>
          <w:kern w:val="0"/>
          <w:sz w:val="32"/>
          <w:szCs w:val="32"/>
          <w:highlight w:val="none"/>
          <w:lang w:val="en-US" w:eastAsia="zh-CN"/>
        </w:rPr>
        <w:t>实现预期目标（</w:t>
      </w:r>
      <w:r>
        <w:rPr>
          <w:rFonts w:hint="default" w:ascii="Times New Roman" w:hAnsi="Times New Roman" w:eastAsia="仿宋_GB2312" w:cs="Times New Roman"/>
          <w:snapToGrid w:val="0"/>
          <w:color w:val="auto"/>
          <w:kern w:val="0"/>
          <w:sz w:val="32"/>
          <w:szCs w:val="32"/>
          <w:highlight w:val="none"/>
          <w:lang w:val="en-US" w:eastAsia="zh-CN" w:bidi="ar-SA"/>
        </w:rPr>
        <w:t>≧95%</w:t>
      </w:r>
      <w:r>
        <w:rPr>
          <w:rFonts w:hint="default" w:ascii="Times New Roman" w:hAnsi="Times New Roman" w:eastAsia="仿宋_GB2312" w:cs="Times New Roman"/>
          <w:snapToGrid w:val="0"/>
          <w:color w:val="auto"/>
          <w:kern w:val="0"/>
          <w:sz w:val="32"/>
          <w:szCs w:val="32"/>
          <w:highlight w:val="none"/>
          <w:lang w:val="en-US" w:eastAsia="zh-CN"/>
        </w:rPr>
        <w:t>）</w:t>
      </w:r>
      <w:r>
        <w:rPr>
          <w:rFonts w:hint="default" w:ascii="Times New Roman" w:hAnsi="Times New Roman" w:eastAsia="仿宋_GB2312" w:cs="Times New Roman"/>
          <w:snapToGrid w:val="0"/>
          <w:color w:val="auto"/>
          <w:kern w:val="0"/>
          <w:sz w:val="32"/>
          <w:szCs w:val="32"/>
          <w:highlight w:val="none"/>
          <w:lang w:val="en-US" w:eastAsia="zh-CN" w:bidi="ar-SA"/>
        </w:rPr>
        <w:t>。</w:t>
      </w:r>
    </w:p>
    <w:p>
      <w:pPr>
        <w:pStyle w:val="8"/>
        <w:keepNext w:val="0"/>
        <w:keepLines w:val="0"/>
        <w:pageBreakBefore w:val="0"/>
        <w:widowControl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b/>
          <w:bCs/>
          <w:color w:val="auto"/>
          <w:kern w:val="0"/>
          <w:sz w:val="32"/>
          <w:szCs w:val="32"/>
          <w:highlight w:val="none"/>
          <w:lang w:val="en-US" w:eastAsia="zh-CN"/>
        </w:rPr>
        <w:t xml:space="preserve">指标4 </w:t>
      </w:r>
      <w:r>
        <w:rPr>
          <w:rFonts w:hint="default" w:ascii="Times New Roman" w:hAnsi="Times New Roman" w:eastAsia="仿宋_GB2312" w:cs="Times New Roman"/>
          <w:b w:val="0"/>
          <w:bCs w:val="0"/>
          <w:color w:val="auto"/>
          <w:kern w:val="0"/>
          <w:sz w:val="32"/>
          <w:szCs w:val="32"/>
          <w:highlight w:val="none"/>
          <w:lang w:val="en-US" w:eastAsia="zh-CN"/>
        </w:rPr>
        <w:t>基层医疗卫生机构“优质服务基层行”活动达到基本标准及以上的比例。根据考核结果，参与基层医疗卫生机构“优质服务基层行”活动的政府办基层医疗卫生机构，达到基本标准及以上的</w:t>
      </w:r>
      <w:r>
        <w:rPr>
          <w:rFonts w:hint="default" w:ascii="Times New Roman" w:hAnsi="Times New Roman" w:eastAsia="仿宋_GB2312" w:cs="Times New Roman"/>
          <w:b w:val="0"/>
          <w:bCs w:val="0"/>
          <w:color w:val="auto"/>
          <w:kern w:val="0"/>
          <w:sz w:val="32"/>
          <w:szCs w:val="32"/>
          <w:highlight w:val="none"/>
          <w:lang w:eastAsia="zh-CN"/>
        </w:rPr>
        <w:t>机构比例</w:t>
      </w:r>
      <w:r>
        <w:rPr>
          <w:rFonts w:hint="default" w:ascii="Times New Roman" w:hAnsi="Times New Roman" w:eastAsia="仿宋_GB2312" w:cs="Times New Roman"/>
          <w:b w:val="0"/>
          <w:bCs w:val="0"/>
          <w:color w:val="auto"/>
          <w:kern w:val="0"/>
          <w:sz w:val="32"/>
          <w:szCs w:val="32"/>
          <w:highlight w:val="none"/>
          <w:lang w:val="en-US" w:eastAsia="zh-CN"/>
        </w:rPr>
        <w:t>为62.59%，实现预期目标（≧60%）</w:t>
      </w:r>
      <w:r>
        <w:rPr>
          <w:rFonts w:hint="default" w:ascii="Times New Roman" w:hAnsi="Times New Roman" w:eastAsia="仿宋_GB2312" w:cs="Times New Roman"/>
          <w:color w:val="auto"/>
          <w:kern w:val="0"/>
          <w:sz w:val="32"/>
          <w:szCs w:val="32"/>
          <w:highlight w:val="none"/>
          <w:lang w:val="en-US" w:eastAsia="zh-CN"/>
        </w:rPr>
        <w:t>。</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646" w:firstLineChars="201"/>
        <w:jc w:val="both"/>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rPr>
        <w:t>2</w:t>
      </w:r>
      <w:r>
        <w:rPr>
          <w:rFonts w:hint="default" w:ascii="仿宋_GB2312" w:hAnsi="仿宋_GB2312" w:eastAsia="仿宋_GB2312" w:cs="仿宋_GB2312"/>
          <w:b/>
          <w:bCs/>
          <w:snapToGrid w:val="0"/>
          <w:color w:val="auto"/>
          <w:kern w:val="0"/>
          <w:sz w:val="32"/>
          <w:szCs w:val="32"/>
          <w:highlight w:val="none"/>
          <w:lang w:val="en-US" w:eastAsia="zh-CN"/>
        </w:rPr>
        <w:t>.效益</w:t>
      </w:r>
      <w:r>
        <w:rPr>
          <w:rFonts w:hint="default" w:ascii="Times New Roman" w:hAnsi="Times New Roman" w:eastAsia="仿宋_GB2312" w:cs="Times New Roman"/>
          <w:b/>
          <w:bCs/>
          <w:color w:val="auto"/>
          <w:kern w:val="0"/>
          <w:sz w:val="32"/>
          <w:szCs w:val="32"/>
          <w:highlight w:val="none"/>
          <w:lang w:eastAsia="zh-CN"/>
        </w:rPr>
        <w:t>指标</w:t>
      </w:r>
      <w:r>
        <w:rPr>
          <w:rFonts w:hint="eastAsia" w:cs="Times New Roman"/>
          <w:b/>
          <w:bCs/>
          <w:color w:val="auto"/>
          <w:kern w:val="0"/>
          <w:sz w:val="32"/>
          <w:szCs w:val="32"/>
          <w:highlight w:val="none"/>
          <w:lang w:eastAsia="zh-CN"/>
        </w:rPr>
        <w:t>。</w:t>
      </w:r>
    </w:p>
    <w:p>
      <w:pPr>
        <w:pStyle w:val="8"/>
        <w:keepNext w:val="0"/>
        <w:keepLines w:val="0"/>
        <w:pageBreakBefore w:val="0"/>
        <w:widowControl w:val="0"/>
        <w:kinsoku/>
        <w:wordWrap/>
        <w:overflowPunct/>
        <w:topLinePunct w:val="0"/>
        <w:autoSpaceDE/>
        <w:autoSpaceDN/>
        <w:bidi w:val="0"/>
        <w:adjustRightInd/>
        <w:snapToGrid/>
        <w:spacing w:line="560" w:lineRule="exact"/>
        <w:jc w:val="both"/>
        <w:textAlignment w:val="baseline"/>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b/>
          <w:bCs/>
          <w:color w:val="auto"/>
          <w:kern w:val="0"/>
          <w:sz w:val="32"/>
          <w:szCs w:val="32"/>
          <w:highlight w:val="none"/>
          <w:lang w:val="en-US" w:eastAsia="zh-CN"/>
        </w:rPr>
        <w:t xml:space="preserve">指标5 </w:t>
      </w:r>
      <w:r>
        <w:rPr>
          <w:rFonts w:hint="default" w:ascii="Times New Roman" w:hAnsi="Times New Roman" w:eastAsia="仿宋_GB2312" w:cs="Times New Roman"/>
          <w:b w:val="0"/>
          <w:bCs w:val="0"/>
          <w:color w:val="auto"/>
          <w:kern w:val="0"/>
          <w:sz w:val="32"/>
          <w:szCs w:val="32"/>
          <w:highlight w:val="none"/>
          <w:lang w:val="en-US" w:eastAsia="zh-CN"/>
        </w:rPr>
        <w:t>乡村医生收入。</w:t>
      </w:r>
      <w:r>
        <w:rPr>
          <w:rFonts w:hint="default" w:ascii="Times New Roman" w:hAnsi="Times New Roman" w:eastAsia="仿宋_GB2312" w:cs="Times New Roman"/>
          <w:color w:val="auto"/>
          <w:kern w:val="0"/>
          <w:sz w:val="32"/>
          <w:szCs w:val="32"/>
          <w:highlight w:val="none"/>
          <w:lang w:val="en-US" w:eastAsia="zh-CN" w:bidi="ar-SA"/>
        </w:rPr>
        <w:t>足额发放中央财政转移支付国家基本药物制度补助资金，广东还在实施国家基本药物制度后对经济较落后地区的村卫生站每年给予2万元的补助；有效提高乡村医生收入，保障了乡村医生的正常待遇,稳定了基层医务人员队伍</w:t>
      </w:r>
      <w:r>
        <w:rPr>
          <w:rFonts w:hint="default" w:ascii="Times New Roman" w:hAnsi="Times New Roman" w:eastAsia="仿宋_GB2312" w:cs="Times New Roman"/>
          <w:color w:val="auto"/>
          <w:kern w:val="0"/>
          <w:sz w:val="32"/>
          <w:szCs w:val="32"/>
          <w:highlight w:val="none"/>
          <w:lang w:eastAsia="zh-CN"/>
        </w:rPr>
        <w:t>，实际完成值</w:t>
      </w:r>
      <w:r>
        <w:rPr>
          <w:rFonts w:hint="default" w:ascii="Times New Roman" w:hAnsi="Times New Roman" w:eastAsia="仿宋_GB2312" w:cs="Times New Roman"/>
          <w:color w:val="auto"/>
          <w:kern w:val="0"/>
          <w:sz w:val="32"/>
          <w:szCs w:val="32"/>
          <w:highlight w:val="none"/>
          <w:lang w:val="en-US" w:eastAsia="zh-CN"/>
        </w:rPr>
        <w:t>100%，实现预期效果（保持稳定）</w:t>
      </w:r>
      <w:r>
        <w:rPr>
          <w:rFonts w:hint="default" w:ascii="Times New Roman" w:hAnsi="Times New Roman" w:eastAsia="仿宋_GB2312" w:cs="Times New Roman"/>
          <w:color w:val="auto"/>
          <w:kern w:val="0"/>
          <w:sz w:val="32"/>
          <w:szCs w:val="32"/>
          <w:highlight w:val="none"/>
          <w:lang w:val="en-US" w:eastAsia="zh-CN" w:bidi="ar-SA"/>
        </w:rPr>
        <w:t>。</w:t>
      </w:r>
    </w:p>
    <w:p>
      <w:pPr>
        <w:pStyle w:val="8"/>
        <w:keepNext w:val="0"/>
        <w:keepLines w:val="0"/>
        <w:pageBreakBefore w:val="0"/>
        <w:widowControl w:val="0"/>
        <w:kinsoku/>
        <w:wordWrap/>
        <w:overflowPunct/>
        <w:topLinePunct w:val="0"/>
        <w:autoSpaceDE/>
        <w:autoSpaceDN/>
        <w:bidi w:val="0"/>
        <w:adjustRightInd/>
        <w:snapToGrid/>
        <w:spacing w:line="560" w:lineRule="exact"/>
        <w:jc w:val="both"/>
        <w:textAlignment w:val="baseline"/>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b/>
          <w:bCs/>
          <w:color w:val="auto"/>
          <w:kern w:val="0"/>
          <w:sz w:val="32"/>
          <w:szCs w:val="32"/>
          <w:highlight w:val="none"/>
          <w:lang w:val="en-US" w:eastAsia="zh-CN"/>
        </w:rPr>
        <w:t xml:space="preserve">指标6 </w:t>
      </w:r>
      <w:r>
        <w:rPr>
          <w:rFonts w:hint="default" w:ascii="Times New Roman" w:hAnsi="Times New Roman" w:eastAsia="仿宋_GB2312" w:cs="Times New Roman"/>
          <w:color w:val="auto"/>
          <w:kern w:val="0"/>
          <w:sz w:val="32"/>
          <w:szCs w:val="32"/>
          <w:highlight w:val="none"/>
        </w:rPr>
        <w:t>国家基本药物制度在基层持续实施</w:t>
      </w:r>
      <w:r>
        <w:rPr>
          <w:rFonts w:hint="default" w:ascii="Times New Roman" w:hAnsi="Times New Roman" w:eastAsia="仿宋_GB2312" w:cs="Times New Roman"/>
          <w:color w:val="auto"/>
          <w:kern w:val="0"/>
          <w:sz w:val="32"/>
          <w:szCs w:val="32"/>
          <w:highlight w:val="none"/>
          <w:lang w:eastAsia="zh-CN"/>
        </w:rPr>
        <w:t>。医务人员用药行为得到规范，对基本药物制度有更加深入的了解，并优先配备使用基本药物，</w:t>
      </w:r>
      <w:r>
        <w:rPr>
          <w:rFonts w:hint="default" w:ascii="Times New Roman" w:hAnsi="Times New Roman" w:eastAsia="仿宋_GB2312" w:cs="Times New Roman"/>
          <w:color w:val="auto"/>
          <w:kern w:val="0"/>
          <w:sz w:val="32"/>
          <w:szCs w:val="32"/>
          <w:highlight w:val="none"/>
        </w:rPr>
        <w:t>群众医疗费用负担增长得到遏制，享受到政策实惠</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实现预期效果（中长期</w:t>
      </w:r>
      <w:r>
        <w:rPr>
          <w:rFonts w:hint="default" w:ascii="Times New Roman" w:hAnsi="Times New Roman" w:eastAsia="仿宋_GB2312" w:cs="Times New Roman"/>
          <w:color w:val="auto"/>
          <w:kern w:val="0"/>
          <w:sz w:val="32"/>
          <w:szCs w:val="32"/>
          <w:highlight w:val="none"/>
        </w:rPr>
        <w:t>持续实施</w:t>
      </w:r>
      <w:r>
        <w:rPr>
          <w:rFonts w:hint="default"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bidi="ar-SA"/>
        </w:rPr>
        <w:t>。</w:t>
      </w:r>
    </w:p>
    <w:p>
      <w:pPr>
        <w:pStyle w:val="8"/>
        <w:keepNext w:val="0"/>
        <w:keepLines w:val="0"/>
        <w:pageBreakBefore w:val="0"/>
        <w:widowControl w:val="0"/>
        <w:kinsoku/>
        <w:wordWrap/>
        <w:overflowPunct/>
        <w:topLinePunct w:val="0"/>
        <w:autoSpaceDE/>
        <w:autoSpaceDN/>
        <w:bidi w:val="0"/>
        <w:adjustRightInd/>
        <w:snapToGrid/>
        <w:spacing w:line="560" w:lineRule="exact"/>
        <w:jc w:val="both"/>
        <w:textAlignment w:val="baseline"/>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b/>
          <w:bCs/>
          <w:color w:val="auto"/>
          <w:kern w:val="0"/>
          <w:sz w:val="32"/>
          <w:szCs w:val="32"/>
          <w:highlight w:val="none"/>
          <w:lang w:val="en-US" w:eastAsia="zh-CN"/>
        </w:rPr>
        <w:t xml:space="preserve">指标7 </w:t>
      </w:r>
      <w:r>
        <w:rPr>
          <w:rFonts w:hint="default" w:ascii="Times New Roman" w:hAnsi="Times New Roman" w:eastAsia="仿宋_GB2312" w:cs="Times New Roman"/>
          <w:b w:val="0"/>
          <w:bCs w:val="0"/>
          <w:color w:val="auto"/>
          <w:kern w:val="0"/>
          <w:sz w:val="32"/>
          <w:szCs w:val="32"/>
          <w:highlight w:val="none"/>
          <w:lang w:val="en-US" w:eastAsia="zh-CN"/>
        </w:rPr>
        <w:t>医共体建设符合“紧密型”、“控费用”、“同质化”、“促分工”发展方向。</w:t>
      </w:r>
      <w:r>
        <w:rPr>
          <w:rFonts w:hint="default" w:ascii="Times New Roman" w:hAnsi="Times New Roman" w:eastAsia="仿宋_GB2312" w:cs="Times New Roman"/>
          <w:color w:val="auto"/>
          <w:kern w:val="0"/>
          <w:sz w:val="32"/>
          <w:szCs w:val="32"/>
          <w:highlight w:val="none"/>
          <w:lang w:val="en-US" w:eastAsia="zh-CN" w:bidi="ar-SA"/>
        </w:rPr>
        <w:t>近年来，在省委省政府的统筹部署下，省卫生健康委牵头会同省有关部门，全力推动优质医疗资源扩容和均衡布局，始终将紧密型县域医共体建设作为构建“顶天立地”医疗卫生大格局、加快建立分级诊疗制度的重要抓手，以完善“外部治理、内部运行、监管评价”三大机制为带动，以构建“责任、管理、服务、利益”四个共同体为导向，实现县域全覆盖，“一盘棋、一家人、一本账”的县域整合型服务体系初步建立，县域医疗卫生服务能力全面提升，在疫情防控中也发挥了县镇村的一盘棋统筹作用。在国家“十三五”时期分级诊疗建设第三方评估中，我省排名全国第一。在2021年县域医共体建设综合排名中，我省并列全国第五，在全国也得到肯定。紧密型县域医共体建设对粤东粤西粤北的整体县域医疗卫生服务体系的优化布局、资源集约共享、下沉基层，以及强基层、强县域，有深远意义</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实现预期效果（稳步发展）</w:t>
      </w:r>
      <w:r>
        <w:rPr>
          <w:rFonts w:hint="default" w:ascii="Times New Roman" w:hAnsi="Times New Roman" w:eastAsia="仿宋_GB2312" w:cs="Times New Roman"/>
          <w:color w:val="auto"/>
          <w:kern w:val="0"/>
          <w:sz w:val="32"/>
          <w:szCs w:val="32"/>
          <w:highlight w:val="none"/>
          <w:lang w:val="en-US" w:eastAsia="zh-CN" w:bidi="ar-SA"/>
        </w:rPr>
        <w:t>。</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646" w:firstLineChars="201"/>
        <w:jc w:val="both"/>
        <w:textAlignment w:val="auto"/>
        <w:rPr>
          <w:rFonts w:hint="eastAsia" w:ascii="Times New Roman" w:hAnsi="Times New Roman" w:eastAsia="仿宋_GB2312" w:cs="Times New Roman"/>
          <w:b/>
          <w:bCs/>
          <w:color w:val="auto"/>
          <w:kern w:val="0"/>
          <w:sz w:val="32"/>
          <w:szCs w:val="32"/>
          <w:highlight w:val="none"/>
          <w:lang w:eastAsia="zh-CN"/>
        </w:rPr>
      </w:pPr>
      <w:r>
        <w:rPr>
          <w:rFonts w:hint="default" w:ascii="Times New Roman" w:hAnsi="Times New Roman" w:eastAsia="仿宋_GB2312" w:cs="Times New Roman"/>
          <w:b/>
          <w:bCs/>
          <w:color w:val="auto"/>
          <w:kern w:val="0"/>
          <w:sz w:val="32"/>
          <w:szCs w:val="32"/>
          <w:highlight w:val="none"/>
          <w:lang w:val="en-US" w:eastAsia="zh-CN"/>
        </w:rPr>
        <w:t>3</w:t>
      </w:r>
      <w:r>
        <w:rPr>
          <w:rFonts w:hint="default" w:ascii="仿宋_GB2312" w:hAnsi="仿宋_GB2312" w:eastAsia="仿宋_GB2312" w:cs="仿宋_GB2312"/>
          <w:b/>
          <w:bCs/>
          <w:snapToGrid w:val="0"/>
          <w:color w:val="auto"/>
          <w:kern w:val="0"/>
          <w:sz w:val="32"/>
          <w:szCs w:val="32"/>
          <w:highlight w:val="none"/>
          <w:lang w:val="en-US" w:eastAsia="zh-CN"/>
        </w:rPr>
        <w:t>.满</w:t>
      </w:r>
      <w:r>
        <w:rPr>
          <w:rFonts w:hint="default" w:ascii="Times New Roman" w:hAnsi="Times New Roman" w:eastAsia="仿宋_GB2312" w:cs="Times New Roman"/>
          <w:b/>
          <w:bCs/>
          <w:color w:val="auto"/>
          <w:kern w:val="0"/>
          <w:sz w:val="32"/>
          <w:szCs w:val="32"/>
          <w:highlight w:val="none"/>
          <w:lang w:val="en-US" w:eastAsia="zh-CN"/>
        </w:rPr>
        <w:t>意度</w:t>
      </w:r>
      <w:r>
        <w:rPr>
          <w:rFonts w:hint="default" w:ascii="Times New Roman" w:hAnsi="Times New Roman" w:eastAsia="仿宋_GB2312" w:cs="Times New Roman"/>
          <w:b/>
          <w:bCs/>
          <w:color w:val="auto"/>
          <w:kern w:val="0"/>
          <w:sz w:val="32"/>
          <w:szCs w:val="32"/>
          <w:highlight w:val="none"/>
          <w:lang w:eastAsia="zh-CN"/>
        </w:rPr>
        <w:t>指标完成</w:t>
      </w:r>
      <w:r>
        <w:rPr>
          <w:rFonts w:hint="default" w:ascii="Times New Roman" w:hAnsi="Times New Roman" w:eastAsia="仿宋_GB2312" w:cs="Times New Roman"/>
          <w:b/>
          <w:bCs/>
          <w:color w:val="auto"/>
          <w:kern w:val="0"/>
          <w:sz w:val="32"/>
          <w:szCs w:val="32"/>
          <w:highlight w:val="none"/>
        </w:rPr>
        <w:t>情况分析</w:t>
      </w:r>
      <w:r>
        <w:rPr>
          <w:rFonts w:hint="eastAsia" w:cs="Times New Roman"/>
          <w:b/>
          <w:bCs/>
          <w:color w:val="auto"/>
          <w:kern w:val="0"/>
          <w:sz w:val="32"/>
          <w:szCs w:val="32"/>
          <w:highlight w:val="none"/>
          <w:lang w:eastAsia="zh-CN"/>
        </w:rPr>
        <w:t>。</w:t>
      </w:r>
    </w:p>
    <w:p>
      <w:pPr>
        <w:pStyle w:val="8"/>
        <w:keepNext w:val="0"/>
        <w:keepLines w:val="0"/>
        <w:pageBreakBefore w:val="0"/>
        <w:widowControl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b w:val="0"/>
          <w:bCs w:val="0"/>
          <w:color w:val="auto"/>
          <w:kern w:val="0"/>
          <w:sz w:val="32"/>
          <w:szCs w:val="32"/>
          <w:highlight w:val="none"/>
          <w:shd w:val="clear" w:color="auto" w:fill="FFFF00"/>
          <w:lang w:val="en-US" w:eastAsia="zh-CN"/>
        </w:rPr>
      </w:pPr>
      <w:r>
        <w:rPr>
          <w:rFonts w:hint="default" w:ascii="Times New Roman" w:hAnsi="Times New Roman" w:eastAsia="仿宋_GB2312" w:cs="Times New Roman"/>
          <w:b/>
          <w:bCs/>
          <w:color w:val="auto"/>
          <w:kern w:val="0"/>
          <w:sz w:val="32"/>
          <w:szCs w:val="32"/>
          <w:highlight w:val="none"/>
          <w:lang w:val="en-US" w:eastAsia="zh-CN"/>
        </w:rPr>
        <w:t xml:space="preserve">指标8 </w:t>
      </w:r>
      <w:r>
        <w:rPr>
          <w:rFonts w:hint="default" w:ascii="Times New Roman" w:hAnsi="Times New Roman" w:eastAsia="仿宋_GB2312" w:cs="Times New Roman"/>
          <w:b w:val="0"/>
          <w:bCs w:val="0"/>
          <w:color w:val="auto"/>
          <w:kern w:val="0"/>
          <w:sz w:val="32"/>
          <w:szCs w:val="32"/>
          <w:highlight w:val="none"/>
          <w:lang w:val="en-US" w:eastAsia="zh-CN"/>
        </w:rPr>
        <w:t>对基本药物制度补助满意度。</w:t>
      </w:r>
      <w:r>
        <w:rPr>
          <w:rFonts w:hint="default" w:ascii="Times New Roman" w:hAnsi="Times New Roman" w:eastAsia="仿宋_GB2312" w:cs="Times New Roman"/>
          <w:color w:val="auto"/>
          <w:kern w:val="0"/>
          <w:sz w:val="32"/>
          <w:szCs w:val="32"/>
          <w:highlight w:val="none"/>
          <w:lang w:val="en-US" w:eastAsia="zh-CN" w:bidi="ar-SA"/>
        </w:rPr>
        <w:t>服务对象满意度满意度不断提高</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实现预期效果</w:t>
      </w:r>
      <w:r>
        <w:rPr>
          <w:rFonts w:hint="default" w:ascii="Times New Roman" w:hAnsi="Times New Roman" w:eastAsia="仿宋_GB2312" w:cs="Times New Roman"/>
          <w:color w:val="auto"/>
          <w:kern w:val="0"/>
          <w:sz w:val="32"/>
          <w:szCs w:val="32"/>
          <w:highlight w:val="none"/>
          <w:lang w:val="en-US" w:eastAsia="zh-CN" w:bidi="ar-SA"/>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黑体" w:cs="Times New Roman"/>
          <w:b w:val="0"/>
          <w:bCs/>
          <w:snapToGrid w:val="0"/>
          <w:color w:val="auto"/>
          <w:kern w:val="0"/>
          <w:sz w:val="32"/>
          <w:szCs w:val="32"/>
          <w:highlight w:val="none"/>
        </w:rPr>
      </w:pPr>
      <w:r>
        <w:rPr>
          <w:rFonts w:hint="default" w:ascii="Times New Roman" w:hAnsi="Times New Roman" w:eastAsia="黑体" w:cs="Times New Roman"/>
          <w:b w:val="0"/>
          <w:bCs/>
          <w:snapToGrid w:val="0"/>
          <w:color w:val="auto"/>
          <w:kern w:val="0"/>
          <w:sz w:val="32"/>
          <w:szCs w:val="32"/>
          <w:highlight w:val="none"/>
        </w:rPr>
        <w:t>三、偏离绩效目标的原因和下一步改进措施</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6" w:firstLineChars="201"/>
        <w:jc w:val="both"/>
        <w:textAlignment w:val="auto"/>
        <w:rPr>
          <w:rFonts w:hint="default" w:ascii="Times New Roman" w:hAnsi="Times New Roman" w:eastAsia="仿宋_GB2312" w:cs="Times New Roman"/>
          <w:snapToGrid w:val="0"/>
          <w:color w:val="auto"/>
          <w:kern w:val="0"/>
          <w:sz w:val="32"/>
          <w:szCs w:val="32"/>
          <w:highlight w:val="none"/>
          <w:lang w:val="en-US" w:eastAsia="zh-CN"/>
        </w:rPr>
      </w:pPr>
      <w:r>
        <w:rPr>
          <w:rFonts w:hint="eastAsia" w:ascii="仿宋_GB2312" w:hAnsi="仿宋_GB2312" w:eastAsia="仿宋_GB2312" w:cs="仿宋_GB2312"/>
          <w:b/>
          <w:bCs/>
          <w:snapToGrid w:val="0"/>
          <w:color w:val="auto"/>
          <w:kern w:val="0"/>
          <w:sz w:val="32"/>
          <w:szCs w:val="32"/>
          <w:highlight w:val="none"/>
          <w:lang w:val="en-US" w:eastAsia="zh-CN"/>
        </w:rPr>
        <w:t>资金支出进度未达标。</w:t>
      </w:r>
      <w:r>
        <w:rPr>
          <w:rFonts w:hint="default" w:ascii="Times New Roman" w:hAnsi="Times New Roman" w:eastAsia="仿宋_GB2312" w:cs="Times New Roman"/>
          <w:b/>
          <w:bCs/>
          <w:snapToGrid w:val="0"/>
          <w:color w:val="auto"/>
          <w:kern w:val="0"/>
          <w:sz w:val="32"/>
          <w:szCs w:val="32"/>
          <w:highlight w:val="none"/>
          <w:lang w:val="en-US" w:eastAsia="zh-CN"/>
        </w:rPr>
        <w:t>原因：</w:t>
      </w:r>
      <w:r>
        <w:rPr>
          <w:rFonts w:hint="default" w:ascii="Times New Roman" w:hAnsi="Times New Roman" w:cs="Times New Roman"/>
          <w:b/>
          <w:bCs/>
          <w:snapToGrid w:val="0"/>
          <w:color w:val="auto"/>
          <w:kern w:val="0"/>
          <w:sz w:val="32"/>
          <w:szCs w:val="32"/>
          <w:highlight w:val="none"/>
          <w:lang w:val="en-US" w:eastAsia="zh-CN"/>
        </w:rPr>
        <w:t>一</w:t>
      </w:r>
      <w:r>
        <w:rPr>
          <w:rFonts w:hint="default" w:ascii="Times New Roman" w:hAnsi="Times New Roman" w:eastAsia="仿宋_GB2312" w:cs="Times New Roman"/>
          <w:b/>
          <w:bCs/>
          <w:snapToGrid w:val="0"/>
          <w:color w:val="auto"/>
          <w:kern w:val="0"/>
          <w:sz w:val="32"/>
          <w:szCs w:val="32"/>
          <w:highlight w:val="none"/>
          <w:lang w:val="en-US" w:eastAsia="zh-CN"/>
        </w:rPr>
        <w:t>是</w:t>
      </w:r>
      <w:r>
        <w:commentReference w:id="0"/>
      </w:r>
      <w:r>
        <w:rPr>
          <w:rFonts w:hint="default" w:ascii="Times New Roman" w:hAnsi="Times New Roman" w:cs="Times New Roman"/>
          <w:snapToGrid w:val="0"/>
          <w:color w:val="auto"/>
          <w:kern w:val="0"/>
          <w:sz w:val="32"/>
          <w:szCs w:val="32"/>
          <w:highlight w:val="none"/>
          <w:lang w:val="en-US" w:eastAsia="zh-CN"/>
        </w:rPr>
        <w:t>地方财政收支压力剧增，</w:t>
      </w:r>
      <w:r>
        <w:rPr>
          <w:rFonts w:hint="default" w:ascii="Times New Roman" w:hAnsi="Times New Roman" w:eastAsia="仿宋_GB2312" w:cs="Times New Roman"/>
          <w:snapToGrid w:val="0"/>
          <w:color w:val="auto"/>
          <w:kern w:val="0"/>
          <w:sz w:val="32"/>
          <w:szCs w:val="32"/>
          <w:highlight w:val="none"/>
          <w:lang w:val="en-US" w:eastAsia="zh-CN"/>
        </w:rPr>
        <w:t>诸多不确定因</w:t>
      </w:r>
      <w:r>
        <w:rPr>
          <w:rFonts w:hint="default" w:ascii="Times New Roman" w:hAnsi="Times New Roman" w:cs="Times New Roman"/>
          <w:snapToGrid w:val="0"/>
          <w:color w:val="auto"/>
          <w:kern w:val="0"/>
          <w:sz w:val="32"/>
          <w:szCs w:val="32"/>
          <w:highlight w:val="none"/>
          <w:lang w:val="en-US" w:eastAsia="zh-CN"/>
        </w:rPr>
        <w:t>素</w:t>
      </w:r>
      <w:r>
        <w:rPr>
          <w:rFonts w:hint="default" w:ascii="Times New Roman" w:hAnsi="Times New Roman" w:eastAsia="仿宋_GB2312" w:cs="Times New Roman"/>
          <w:snapToGrid w:val="0"/>
          <w:color w:val="auto"/>
          <w:kern w:val="0"/>
          <w:sz w:val="32"/>
          <w:szCs w:val="32"/>
          <w:highlight w:val="none"/>
          <w:lang w:val="en-US" w:eastAsia="zh-CN"/>
        </w:rPr>
        <w:t>使</w:t>
      </w:r>
      <w:r>
        <w:rPr>
          <w:rFonts w:hint="default" w:ascii="Times New Roman" w:hAnsi="Times New Roman" w:cs="Times New Roman"/>
          <w:snapToGrid w:val="0"/>
          <w:color w:val="auto"/>
          <w:kern w:val="0"/>
          <w:sz w:val="32"/>
          <w:szCs w:val="32"/>
          <w:highlight w:val="none"/>
          <w:lang w:val="en-US" w:eastAsia="zh-CN"/>
        </w:rPr>
        <w:t>得</w:t>
      </w:r>
      <w:r>
        <w:rPr>
          <w:rFonts w:hint="default" w:ascii="Times New Roman" w:hAnsi="Times New Roman" w:eastAsia="仿宋_GB2312" w:cs="Times New Roman"/>
          <w:snapToGrid w:val="0"/>
          <w:color w:val="auto"/>
          <w:kern w:val="0"/>
          <w:sz w:val="32"/>
          <w:szCs w:val="32"/>
          <w:highlight w:val="none"/>
          <w:lang w:val="en-US" w:eastAsia="zh-CN"/>
        </w:rPr>
        <w:t>地方财政</w:t>
      </w:r>
      <w:r>
        <w:rPr>
          <w:rFonts w:hint="default" w:ascii="Times New Roman" w:hAnsi="Times New Roman" w:cs="Times New Roman"/>
          <w:snapToGrid w:val="0"/>
          <w:color w:val="auto"/>
          <w:kern w:val="0"/>
          <w:sz w:val="32"/>
          <w:szCs w:val="32"/>
          <w:highlight w:val="none"/>
          <w:lang w:val="en-US" w:eastAsia="zh-CN"/>
        </w:rPr>
        <w:t>在</w:t>
      </w:r>
      <w:r>
        <w:rPr>
          <w:rFonts w:hint="default" w:ascii="Times New Roman" w:hAnsi="Times New Roman" w:eastAsia="仿宋_GB2312" w:cs="Times New Roman"/>
          <w:snapToGrid w:val="0"/>
          <w:color w:val="auto"/>
          <w:kern w:val="0"/>
          <w:sz w:val="32"/>
          <w:szCs w:val="32"/>
          <w:highlight w:val="none"/>
          <w:lang w:val="en-US" w:eastAsia="zh-CN"/>
        </w:rPr>
        <w:t>支出上更为谨慎，</w:t>
      </w:r>
      <w:r>
        <w:rPr>
          <w:rFonts w:hint="default" w:ascii="Times New Roman" w:hAnsi="Times New Roman" w:cs="Times New Roman"/>
          <w:snapToGrid w:val="0"/>
          <w:color w:val="auto"/>
          <w:kern w:val="0"/>
          <w:sz w:val="32"/>
          <w:szCs w:val="32"/>
          <w:highlight w:val="none"/>
          <w:lang w:val="en-US" w:eastAsia="zh-CN"/>
        </w:rPr>
        <w:t>需要预</w:t>
      </w:r>
      <w:r>
        <w:rPr>
          <w:rFonts w:hint="default" w:ascii="Times New Roman" w:hAnsi="Times New Roman" w:eastAsia="仿宋_GB2312" w:cs="Times New Roman"/>
          <w:snapToGrid w:val="0"/>
          <w:color w:val="auto"/>
          <w:kern w:val="0"/>
          <w:sz w:val="32"/>
          <w:szCs w:val="32"/>
          <w:highlight w:val="none"/>
          <w:lang w:val="en-US" w:eastAsia="zh-CN"/>
        </w:rPr>
        <w:t>留更大</w:t>
      </w:r>
      <w:r>
        <w:rPr>
          <w:rFonts w:hint="default" w:ascii="Times New Roman" w:hAnsi="Times New Roman" w:cs="Times New Roman"/>
          <w:snapToGrid w:val="0"/>
          <w:color w:val="auto"/>
          <w:kern w:val="0"/>
          <w:sz w:val="32"/>
          <w:szCs w:val="32"/>
          <w:highlight w:val="none"/>
          <w:lang w:val="en-US" w:eastAsia="zh-CN"/>
        </w:rPr>
        <w:t>额度以备不时之需，</w:t>
      </w:r>
      <w:r>
        <w:rPr>
          <w:rFonts w:hint="default" w:ascii="Times New Roman" w:hAnsi="Times New Roman" w:eastAsia="仿宋_GB2312" w:cs="Times New Roman"/>
          <w:snapToGrid w:val="0"/>
          <w:color w:val="auto"/>
          <w:kern w:val="0"/>
          <w:sz w:val="32"/>
          <w:szCs w:val="32"/>
          <w:highlight w:val="none"/>
          <w:lang w:val="en-US" w:eastAsia="zh-CN"/>
        </w:rPr>
        <w:t>未能及时将项目资金拨付至基层医疗卫生机构</w:t>
      </w:r>
      <w:r>
        <w:rPr>
          <w:rFonts w:hint="default" w:ascii="Times New Roman" w:hAnsi="Times New Roman" w:cs="Times New Roman"/>
          <w:snapToGrid w:val="0"/>
          <w:color w:val="auto"/>
          <w:kern w:val="0"/>
          <w:sz w:val="32"/>
          <w:szCs w:val="32"/>
          <w:highlight w:val="none"/>
          <w:lang w:val="en-US" w:eastAsia="zh-CN"/>
        </w:rPr>
        <w:t>，</w:t>
      </w:r>
      <w:r>
        <w:rPr>
          <w:rFonts w:hint="default" w:ascii="Times New Roman" w:hAnsi="Times New Roman" w:eastAsia="仿宋_GB2312" w:cs="Times New Roman"/>
          <w:snapToGrid w:val="0"/>
          <w:color w:val="auto"/>
          <w:kern w:val="0"/>
          <w:sz w:val="32"/>
          <w:szCs w:val="32"/>
          <w:highlight w:val="none"/>
          <w:lang w:val="en-US" w:eastAsia="zh-CN"/>
        </w:rPr>
        <w:t>直接导致预算执行进度迟缓。存在</w:t>
      </w:r>
      <w:r>
        <w:rPr>
          <w:rFonts w:hint="default" w:ascii="Times New Roman" w:hAnsi="Times New Roman" w:cs="Times New Roman"/>
          <w:snapToGrid w:val="0"/>
          <w:color w:val="auto"/>
          <w:kern w:val="0"/>
          <w:sz w:val="32"/>
          <w:szCs w:val="32"/>
          <w:highlight w:val="none"/>
          <w:lang w:val="en-US" w:eastAsia="zh-CN"/>
        </w:rPr>
        <w:t>个别</w:t>
      </w:r>
      <w:r>
        <w:rPr>
          <w:rFonts w:hint="default" w:ascii="Times New Roman" w:hAnsi="Times New Roman" w:eastAsia="仿宋_GB2312" w:cs="Times New Roman"/>
          <w:snapToGrid w:val="0"/>
          <w:color w:val="auto"/>
          <w:kern w:val="0"/>
          <w:sz w:val="32"/>
          <w:szCs w:val="32"/>
          <w:highlight w:val="none"/>
          <w:lang w:val="en-US" w:eastAsia="zh-CN"/>
        </w:rPr>
        <w:t>县</w:t>
      </w:r>
      <w:r>
        <w:rPr>
          <w:rFonts w:hint="default" w:ascii="Times New Roman" w:hAnsi="Times New Roman" w:cs="Times New Roman"/>
          <w:snapToGrid w:val="0"/>
          <w:color w:val="auto"/>
          <w:kern w:val="0"/>
          <w:sz w:val="32"/>
          <w:szCs w:val="32"/>
          <w:highlight w:val="none"/>
          <w:lang w:val="en-US" w:eastAsia="zh-CN"/>
        </w:rPr>
        <w:t>级</w:t>
      </w:r>
      <w:r>
        <w:rPr>
          <w:rFonts w:hint="default" w:ascii="Times New Roman" w:hAnsi="Times New Roman" w:eastAsia="仿宋_GB2312" w:cs="Times New Roman"/>
          <w:snapToGrid w:val="0"/>
          <w:color w:val="auto"/>
          <w:kern w:val="0"/>
          <w:sz w:val="32"/>
          <w:szCs w:val="32"/>
          <w:highlight w:val="none"/>
          <w:lang w:val="en-US" w:eastAsia="zh-CN"/>
        </w:rPr>
        <w:t>财政</w:t>
      </w:r>
      <w:r>
        <w:rPr>
          <w:rFonts w:hint="default" w:ascii="Times New Roman" w:hAnsi="Times New Roman" w:cs="Times New Roman"/>
          <w:snapToGrid w:val="0"/>
          <w:color w:val="auto"/>
          <w:kern w:val="0"/>
          <w:sz w:val="32"/>
          <w:szCs w:val="32"/>
          <w:highlight w:val="none"/>
          <w:lang w:val="en-US" w:eastAsia="zh-CN"/>
        </w:rPr>
        <w:t>跨</w:t>
      </w:r>
      <w:r>
        <w:rPr>
          <w:rFonts w:hint="default" w:ascii="Times New Roman" w:hAnsi="Times New Roman" w:eastAsia="仿宋_GB2312" w:cs="Times New Roman"/>
          <w:snapToGrid w:val="0"/>
          <w:color w:val="auto"/>
          <w:kern w:val="0"/>
          <w:sz w:val="32"/>
          <w:szCs w:val="32"/>
          <w:highlight w:val="none"/>
          <w:lang w:val="en-US" w:eastAsia="zh-CN"/>
        </w:rPr>
        <w:t>年度拨付上年度项目资金的情况，甚至还有个别地区财政至今仍未拨付项目资金。而未及时支出的“剩余资金”又可能导致未来年度预算额度缩减，造成</w:t>
      </w:r>
      <w:r>
        <w:rPr>
          <w:rFonts w:hint="default" w:ascii="Times New Roman" w:hAnsi="Times New Roman" w:cs="Times New Roman"/>
          <w:snapToGrid w:val="0"/>
          <w:color w:val="auto"/>
          <w:kern w:val="0"/>
          <w:sz w:val="32"/>
          <w:szCs w:val="32"/>
          <w:highlight w:val="none"/>
          <w:lang w:val="en-US" w:eastAsia="zh-CN"/>
        </w:rPr>
        <w:t>恶性循环</w:t>
      </w:r>
      <w:r>
        <w:rPr>
          <w:rFonts w:hint="default" w:ascii="Times New Roman" w:hAnsi="Times New Roman" w:eastAsia="仿宋_GB2312" w:cs="Times New Roman"/>
          <w:snapToGrid w:val="0"/>
          <w:color w:val="auto"/>
          <w:kern w:val="0"/>
          <w:sz w:val="32"/>
          <w:szCs w:val="32"/>
          <w:highlight w:val="none"/>
          <w:lang w:val="en-US" w:eastAsia="zh-CN"/>
        </w:rPr>
        <w:t>。</w:t>
      </w:r>
      <w:r>
        <w:rPr>
          <w:rFonts w:hint="default" w:ascii="Times New Roman" w:hAnsi="Times New Roman" w:cs="Times New Roman"/>
          <w:b/>
          <w:bCs/>
          <w:snapToGrid w:val="0"/>
          <w:color w:val="auto"/>
          <w:kern w:val="0"/>
          <w:sz w:val="32"/>
          <w:szCs w:val="32"/>
          <w:highlight w:val="none"/>
          <w:lang w:val="en-US" w:eastAsia="zh-CN"/>
        </w:rPr>
        <w:t>二</w:t>
      </w:r>
      <w:r>
        <w:rPr>
          <w:rFonts w:hint="default" w:ascii="Times New Roman" w:hAnsi="Times New Roman" w:eastAsia="仿宋_GB2312" w:cs="Times New Roman"/>
          <w:b/>
          <w:bCs/>
          <w:snapToGrid w:val="0"/>
          <w:color w:val="auto"/>
          <w:kern w:val="0"/>
          <w:sz w:val="32"/>
          <w:szCs w:val="32"/>
          <w:highlight w:val="none"/>
          <w:lang w:val="en-US" w:eastAsia="zh-CN"/>
        </w:rPr>
        <w:t>是</w:t>
      </w:r>
      <w:r>
        <w:rPr>
          <w:rFonts w:hint="default" w:ascii="Times New Roman" w:hAnsi="Times New Roman" w:eastAsia="仿宋_GB2312" w:cs="Times New Roman"/>
          <w:snapToGrid w:val="0"/>
          <w:color w:val="auto"/>
          <w:kern w:val="0"/>
          <w:sz w:val="32"/>
          <w:szCs w:val="32"/>
          <w:highlight w:val="none"/>
          <w:lang w:val="en-US" w:eastAsia="zh-CN"/>
        </w:rPr>
        <w:t>项目招标</w:t>
      </w:r>
      <w:r>
        <w:rPr>
          <w:rFonts w:hint="default" w:ascii="Times New Roman" w:hAnsi="Times New Roman" w:cs="Times New Roman"/>
          <w:snapToGrid w:val="0"/>
          <w:color w:val="auto"/>
          <w:kern w:val="0"/>
          <w:sz w:val="32"/>
          <w:szCs w:val="32"/>
          <w:highlight w:val="none"/>
          <w:lang w:val="en-US" w:eastAsia="zh-CN"/>
        </w:rPr>
        <w:t>、</w:t>
      </w:r>
      <w:r>
        <w:rPr>
          <w:rFonts w:hint="default" w:ascii="Times New Roman" w:hAnsi="Times New Roman" w:eastAsia="仿宋_GB2312" w:cs="Times New Roman"/>
          <w:snapToGrid w:val="0"/>
          <w:color w:val="auto"/>
          <w:kern w:val="0"/>
          <w:sz w:val="32"/>
          <w:szCs w:val="32"/>
          <w:highlight w:val="none"/>
          <w:lang w:val="en-US" w:eastAsia="zh-CN"/>
        </w:rPr>
        <w:t>采购</w:t>
      </w:r>
      <w:r>
        <w:rPr>
          <w:rFonts w:hint="default" w:ascii="Times New Roman" w:hAnsi="Times New Roman" w:cs="Times New Roman"/>
          <w:snapToGrid w:val="0"/>
          <w:color w:val="auto"/>
          <w:kern w:val="0"/>
          <w:sz w:val="32"/>
          <w:szCs w:val="32"/>
          <w:highlight w:val="none"/>
          <w:lang w:val="en-US" w:eastAsia="zh-CN"/>
        </w:rPr>
        <w:t>、国库集中支付</w:t>
      </w:r>
      <w:r>
        <w:rPr>
          <w:rFonts w:hint="default" w:ascii="Times New Roman" w:hAnsi="Times New Roman" w:eastAsia="仿宋_GB2312" w:cs="Times New Roman"/>
          <w:snapToGrid w:val="0"/>
          <w:color w:val="auto"/>
          <w:kern w:val="0"/>
          <w:sz w:val="32"/>
          <w:szCs w:val="32"/>
          <w:highlight w:val="none"/>
          <w:lang w:val="en-US" w:eastAsia="zh-CN"/>
        </w:rPr>
        <w:t>需时</w:t>
      </w:r>
      <w:r>
        <w:rPr>
          <w:rFonts w:hint="default" w:ascii="Times New Roman" w:hAnsi="Times New Roman" w:cs="Times New Roman"/>
          <w:snapToGrid w:val="0"/>
          <w:color w:val="auto"/>
          <w:kern w:val="0"/>
          <w:sz w:val="32"/>
          <w:szCs w:val="32"/>
          <w:highlight w:val="none"/>
          <w:lang w:val="en-US" w:eastAsia="zh-CN"/>
        </w:rPr>
        <w:t>较长</w:t>
      </w:r>
      <w:r>
        <w:rPr>
          <w:rFonts w:hint="default" w:ascii="Times New Roman" w:hAnsi="Times New Roman" w:eastAsia="仿宋_GB2312" w:cs="Times New Roman"/>
          <w:snapToGrid w:val="0"/>
          <w:color w:val="auto"/>
          <w:kern w:val="0"/>
          <w:sz w:val="32"/>
          <w:szCs w:val="32"/>
          <w:highlight w:val="none"/>
          <w:lang w:val="en-US" w:eastAsia="zh-CN"/>
        </w:rPr>
        <w:t>，</w:t>
      </w:r>
      <w:r>
        <w:rPr>
          <w:rFonts w:hint="default" w:ascii="Times New Roman" w:hAnsi="Times New Roman" w:cs="Times New Roman"/>
          <w:snapToGrid w:val="0"/>
          <w:color w:val="auto"/>
          <w:kern w:val="0"/>
          <w:sz w:val="32"/>
          <w:szCs w:val="32"/>
          <w:highlight w:val="none"/>
          <w:lang w:val="en-US" w:eastAsia="zh-CN"/>
        </w:rPr>
        <w:t>个别</w:t>
      </w:r>
      <w:r>
        <w:rPr>
          <w:rFonts w:hint="default" w:ascii="Times New Roman" w:hAnsi="Times New Roman" w:eastAsia="仿宋_GB2312" w:cs="Times New Roman"/>
          <w:snapToGrid w:val="0"/>
          <w:color w:val="auto"/>
          <w:kern w:val="0"/>
          <w:sz w:val="32"/>
          <w:szCs w:val="32"/>
          <w:highlight w:val="none"/>
          <w:lang w:val="en-US" w:eastAsia="zh-CN"/>
        </w:rPr>
        <w:t>基层医疗卫生机构</w:t>
      </w:r>
      <w:r>
        <w:rPr>
          <w:rFonts w:hint="default" w:ascii="Times New Roman" w:hAnsi="Times New Roman" w:cs="Times New Roman"/>
          <w:snapToGrid w:val="0"/>
          <w:color w:val="auto"/>
          <w:kern w:val="0"/>
          <w:sz w:val="32"/>
          <w:szCs w:val="32"/>
          <w:highlight w:val="none"/>
          <w:lang w:val="en-US" w:eastAsia="zh-CN"/>
        </w:rPr>
        <w:t>收到</w:t>
      </w:r>
      <w:r>
        <w:rPr>
          <w:rFonts w:hint="default" w:ascii="Times New Roman" w:hAnsi="Times New Roman" w:eastAsia="仿宋_GB2312" w:cs="Times New Roman"/>
          <w:snapToGrid w:val="0"/>
          <w:color w:val="auto"/>
          <w:kern w:val="0"/>
          <w:sz w:val="32"/>
          <w:szCs w:val="32"/>
          <w:highlight w:val="none"/>
          <w:lang w:val="en-US" w:eastAsia="zh-CN"/>
        </w:rPr>
        <w:t>专项资金</w:t>
      </w:r>
      <w:r>
        <w:rPr>
          <w:rFonts w:hint="default" w:ascii="Times New Roman" w:hAnsi="Times New Roman" w:cs="Times New Roman"/>
          <w:snapToGrid w:val="0"/>
          <w:color w:val="auto"/>
          <w:kern w:val="0"/>
          <w:sz w:val="32"/>
          <w:szCs w:val="32"/>
          <w:highlight w:val="none"/>
          <w:lang w:val="en-US" w:eastAsia="zh-CN"/>
        </w:rPr>
        <w:t>已临近</w:t>
      </w:r>
      <w:r>
        <w:rPr>
          <w:rFonts w:hint="default" w:ascii="Times New Roman" w:hAnsi="Times New Roman" w:eastAsia="仿宋_GB2312" w:cs="Times New Roman"/>
          <w:snapToGrid w:val="0"/>
          <w:color w:val="auto"/>
          <w:kern w:val="0"/>
          <w:sz w:val="32"/>
          <w:szCs w:val="32"/>
          <w:highlight w:val="none"/>
          <w:lang w:val="en-US" w:eastAsia="zh-CN"/>
        </w:rPr>
        <w:t>岁末，</w:t>
      </w:r>
      <w:r>
        <w:rPr>
          <w:rFonts w:hint="default" w:ascii="Times New Roman" w:hAnsi="Times New Roman" w:cs="Times New Roman"/>
          <w:snapToGrid w:val="0"/>
          <w:color w:val="auto"/>
          <w:kern w:val="0"/>
          <w:sz w:val="32"/>
          <w:szCs w:val="32"/>
          <w:highlight w:val="none"/>
          <w:lang w:val="en-US" w:eastAsia="zh-CN"/>
        </w:rPr>
        <w:t>时间</w:t>
      </w:r>
      <w:r>
        <w:rPr>
          <w:rFonts w:hint="default" w:ascii="Times New Roman" w:hAnsi="Times New Roman" w:eastAsia="仿宋_GB2312" w:cs="Times New Roman"/>
          <w:snapToGrid w:val="0"/>
          <w:color w:val="auto"/>
          <w:kern w:val="0"/>
          <w:sz w:val="32"/>
          <w:szCs w:val="32"/>
          <w:highlight w:val="none"/>
          <w:lang w:val="en-US" w:eastAsia="zh-CN"/>
        </w:rPr>
        <w:t>有限</w:t>
      </w:r>
      <w:r>
        <w:rPr>
          <w:rFonts w:hint="default" w:ascii="Times New Roman" w:hAnsi="Times New Roman" w:cs="Times New Roman"/>
          <w:snapToGrid w:val="0"/>
          <w:color w:val="auto"/>
          <w:kern w:val="0"/>
          <w:sz w:val="32"/>
          <w:szCs w:val="32"/>
          <w:highlight w:val="none"/>
          <w:lang w:val="en-US" w:eastAsia="zh-CN"/>
        </w:rPr>
        <w:t>无法及时支付</w:t>
      </w:r>
      <w:r>
        <w:rPr>
          <w:rFonts w:hint="default" w:ascii="Times New Roman" w:hAnsi="Times New Roman" w:eastAsia="仿宋_GB2312" w:cs="Times New Roman"/>
          <w:snapToGrid w:val="0"/>
          <w:color w:val="auto"/>
          <w:kern w:val="0"/>
          <w:sz w:val="32"/>
          <w:szCs w:val="32"/>
          <w:highlight w:val="none"/>
          <w:lang w:val="en-US" w:eastAsia="zh-CN"/>
        </w:rPr>
        <w:t>。</w:t>
      </w:r>
      <w:r>
        <w:rPr>
          <w:rFonts w:hint="default" w:ascii="Times New Roman" w:hAnsi="Times New Roman" w:eastAsia="仿宋_GB2312" w:cs="Times New Roman"/>
          <w:b/>
          <w:bCs/>
          <w:snapToGrid w:val="0"/>
          <w:color w:val="auto"/>
          <w:kern w:val="0"/>
          <w:sz w:val="32"/>
          <w:szCs w:val="32"/>
          <w:highlight w:val="none"/>
          <w:shd w:val="clear" w:color="auto" w:fill="FFFFFF"/>
          <w:lang w:val="en-US" w:eastAsia="zh-CN"/>
        </w:rPr>
        <w:t>改进措施</w:t>
      </w:r>
      <w:r>
        <w:rPr>
          <w:rFonts w:hint="default" w:ascii="Times New Roman" w:hAnsi="Times New Roman" w:eastAsia="仿宋_GB2312" w:cs="Times New Roman"/>
          <w:snapToGrid w:val="0"/>
          <w:color w:val="auto"/>
          <w:kern w:val="0"/>
          <w:sz w:val="32"/>
          <w:szCs w:val="32"/>
          <w:highlight w:val="none"/>
          <w:shd w:val="clear" w:color="auto" w:fill="FFFFFF"/>
          <w:lang w:val="en-US" w:eastAsia="zh-CN"/>
        </w:rPr>
        <w:t>:</w:t>
      </w:r>
      <w:r>
        <w:rPr>
          <w:rFonts w:hint="default" w:ascii="Times New Roman" w:hAnsi="Times New Roman" w:eastAsia="仿宋_GB2312" w:cs="Times New Roman"/>
          <w:b w:val="0"/>
          <w:bCs w:val="0"/>
          <w:snapToGrid w:val="0"/>
          <w:color w:val="auto"/>
          <w:kern w:val="0"/>
          <w:sz w:val="32"/>
          <w:szCs w:val="32"/>
          <w:highlight w:val="none"/>
          <w:lang w:eastAsia="zh-CN"/>
        </w:rPr>
        <w:t>关于“</w:t>
      </w:r>
      <w:r>
        <w:rPr>
          <w:rFonts w:hint="default" w:ascii="Times New Roman" w:hAnsi="Times New Roman" w:eastAsia="仿宋_GB2312" w:cs="Times New Roman"/>
          <w:b w:val="0"/>
          <w:bCs w:val="0"/>
          <w:snapToGrid w:val="0"/>
          <w:color w:val="auto"/>
          <w:kern w:val="0"/>
          <w:sz w:val="32"/>
          <w:szCs w:val="32"/>
          <w:highlight w:val="none"/>
        </w:rPr>
        <w:t>对重视不够、工作进展不力、政策落实不及时、不到位的地区予以通报批评</w:t>
      </w:r>
      <w:r>
        <w:rPr>
          <w:rFonts w:hint="default" w:ascii="Times New Roman" w:hAnsi="Times New Roman" w:eastAsia="仿宋_GB2312" w:cs="Times New Roman"/>
          <w:b w:val="0"/>
          <w:bCs w:val="0"/>
          <w:snapToGrid w:val="0"/>
          <w:color w:val="auto"/>
          <w:kern w:val="0"/>
          <w:sz w:val="32"/>
          <w:szCs w:val="32"/>
          <w:highlight w:val="none"/>
          <w:lang w:eastAsia="zh-CN"/>
        </w:rPr>
        <w:t>”的要求，由我委</w:t>
      </w:r>
      <w:r>
        <w:rPr>
          <w:rFonts w:hint="default" w:ascii="Times New Roman" w:hAnsi="Times New Roman" w:eastAsia="仿宋_GB2312" w:cs="Times New Roman"/>
          <w:b w:val="0"/>
          <w:bCs w:val="0"/>
          <w:snapToGrid w:val="0"/>
          <w:color w:val="auto"/>
          <w:kern w:val="0"/>
          <w:sz w:val="32"/>
          <w:szCs w:val="32"/>
          <w:highlight w:val="none"/>
        </w:rPr>
        <w:t>对年</w:t>
      </w:r>
      <w:r>
        <w:rPr>
          <w:rFonts w:hint="default" w:ascii="Times New Roman" w:hAnsi="Times New Roman" w:eastAsia="仿宋_GB2312" w:cs="Times New Roman"/>
          <w:b w:val="0"/>
          <w:bCs w:val="0"/>
          <w:snapToGrid w:val="0"/>
          <w:color w:val="auto"/>
          <w:kern w:val="0"/>
          <w:sz w:val="32"/>
          <w:szCs w:val="32"/>
          <w:highlight w:val="none"/>
          <w:lang w:eastAsia="zh-CN"/>
        </w:rPr>
        <w:t>度</w:t>
      </w:r>
      <w:r>
        <w:rPr>
          <w:rFonts w:hint="default" w:ascii="Times New Roman" w:hAnsi="Times New Roman" w:eastAsia="仿宋_GB2312" w:cs="Times New Roman"/>
          <w:b w:val="0"/>
          <w:bCs w:val="0"/>
          <w:snapToGrid w:val="0"/>
          <w:color w:val="auto"/>
          <w:kern w:val="0"/>
          <w:sz w:val="32"/>
          <w:szCs w:val="32"/>
          <w:highlight w:val="none"/>
        </w:rPr>
        <w:t>村</w:t>
      </w:r>
      <w:r>
        <w:rPr>
          <w:rFonts w:hint="default" w:ascii="Times New Roman" w:hAnsi="Times New Roman" w:eastAsia="仿宋_GB2312" w:cs="Times New Roman"/>
          <w:b w:val="0"/>
          <w:bCs w:val="0"/>
          <w:snapToGrid w:val="0"/>
          <w:color w:val="auto"/>
          <w:kern w:val="0"/>
          <w:sz w:val="32"/>
          <w:szCs w:val="32"/>
          <w:highlight w:val="none"/>
          <w:lang w:eastAsia="zh-CN"/>
        </w:rPr>
        <w:t>医基本药物</w:t>
      </w:r>
      <w:r>
        <w:rPr>
          <w:rFonts w:hint="default" w:ascii="Times New Roman" w:hAnsi="Times New Roman" w:eastAsia="仿宋_GB2312" w:cs="Times New Roman"/>
          <w:b w:val="0"/>
          <w:bCs w:val="0"/>
          <w:snapToGrid w:val="0"/>
          <w:color w:val="auto"/>
          <w:kern w:val="0"/>
          <w:sz w:val="32"/>
          <w:szCs w:val="32"/>
          <w:highlight w:val="none"/>
        </w:rPr>
        <w:t>补助经费拨付率不足</w:t>
      </w:r>
      <w:r>
        <w:rPr>
          <w:rFonts w:hint="default" w:ascii="Times New Roman" w:hAnsi="Times New Roman" w:eastAsia="仿宋_GB2312" w:cs="Times New Roman"/>
          <w:b w:val="0"/>
          <w:bCs w:val="0"/>
          <w:snapToGrid w:val="0"/>
          <w:color w:val="auto"/>
          <w:kern w:val="0"/>
          <w:sz w:val="32"/>
          <w:szCs w:val="32"/>
          <w:highlight w:val="none"/>
          <w:lang w:val="en-US" w:eastAsia="zh-CN"/>
        </w:rPr>
        <w:t>9</w:t>
      </w:r>
      <w:r>
        <w:rPr>
          <w:rFonts w:hint="default" w:ascii="Times New Roman" w:hAnsi="Times New Roman" w:eastAsia="仿宋_GB2312" w:cs="Times New Roman"/>
          <w:b w:val="0"/>
          <w:bCs w:val="0"/>
          <w:snapToGrid w:val="0"/>
          <w:color w:val="auto"/>
          <w:kern w:val="0"/>
          <w:sz w:val="32"/>
          <w:szCs w:val="32"/>
          <w:highlight w:val="none"/>
        </w:rPr>
        <w:t>0%</w:t>
      </w:r>
      <w:r>
        <w:rPr>
          <w:rFonts w:hint="default" w:ascii="Times New Roman" w:hAnsi="Times New Roman" w:eastAsia="仿宋_GB2312" w:cs="Times New Roman"/>
          <w:b w:val="0"/>
          <w:bCs w:val="0"/>
          <w:snapToGrid w:val="0"/>
          <w:color w:val="auto"/>
          <w:kern w:val="0"/>
          <w:sz w:val="32"/>
          <w:szCs w:val="32"/>
          <w:highlight w:val="none"/>
          <w:lang w:eastAsia="zh-CN"/>
        </w:rPr>
        <w:t>的</w:t>
      </w:r>
      <w:r>
        <w:rPr>
          <w:rFonts w:hint="default" w:ascii="Times New Roman" w:hAnsi="Times New Roman" w:eastAsia="仿宋_GB2312" w:cs="Times New Roman"/>
          <w:b w:val="0"/>
          <w:bCs w:val="0"/>
          <w:snapToGrid w:val="0"/>
          <w:color w:val="auto"/>
          <w:kern w:val="0"/>
          <w:sz w:val="32"/>
          <w:szCs w:val="32"/>
          <w:highlight w:val="none"/>
        </w:rPr>
        <w:t>县区和</w:t>
      </w:r>
      <w:r>
        <w:rPr>
          <w:rFonts w:hint="default" w:ascii="Times New Roman" w:hAnsi="Times New Roman" w:eastAsia="仿宋_GB2312" w:cs="Times New Roman"/>
          <w:b w:val="0"/>
          <w:bCs w:val="0"/>
          <w:snapToGrid w:val="0"/>
          <w:color w:val="auto"/>
          <w:kern w:val="0"/>
          <w:sz w:val="32"/>
          <w:szCs w:val="32"/>
          <w:highlight w:val="none"/>
          <w:lang w:eastAsia="zh-CN"/>
        </w:rPr>
        <w:t>村执行基本药物制度较弱的</w:t>
      </w:r>
      <w:r>
        <w:rPr>
          <w:rFonts w:hint="default" w:ascii="Times New Roman" w:hAnsi="Times New Roman" w:eastAsia="仿宋_GB2312" w:cs="Times New Roman"/>
          <w:b w:val="0"/>
          <w:bCs w:val="0"/>
          <w:snapToGrid w:val="0"/>
          <w:color w:val="auto"/>
          <w:kern w:val="0"/>
          <w:sz w:val="32"/>
          <w:szCs w:val="32"/>
          <w:highlight w:val="none"/>
        </w:rPr>
        <w:t>县区进行通报</w:t>
      </w:r>
      <w:r>
        <w:rPr>
          <w:rFonts w:hint="default" w:ascii="Times New Roman" w:hAnsi="Times New Roman" w:cs="Times New Roman"/>
          <w:b w:val="0"/>
          <w:bCs w:val="0"/>
          <w:snapToGrid w:val="0"/>
          <w:color w:val="auto"/>
          <w:kern w:val="0"/>
          <w:sz w:val="32"/>
          <w:szCs w:val="32"/>
          <w:highlight w:val="none"/>
          <w:lang w:eastAsia="zh-CN"/>
        </w:rPr>
        <w:t>，并将支出进度与下年预算安排挂钩</w:t>
      </w:r>
      <w:r>
        <w:rPr>
          <w:rFonts w:hint="default" w:ascii="Times New Roman" w:hAnsi="Times New Roman" w:eastAsia="仿宋_GB2312" w:cs="Times New Roman"/>
          <w:b w:val="0"/>
          <w:bCs w:val="0"/>
          <w:snapToGrid w:val="0"/>
          <w:color w:val="auto"/>
          <w:kern w:val="0"/>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rPr>
          <w:rFonts w:hint="default" w:ascii="Times New Roman" w:hAnsi="Times New Roman" w:eastAsia="黑体" w:cs="Times New Roman"/>
          <w:b w:val="0"/>
          <w:bCs w:val="0"/>
          <w:snapToGrid w:val="0"/>
          <w:color w:val="auto"/>
          <w:kern w:val="0"/>
          <w:sz w:val="32"/>
          <w:szCs w:val="32"/>
          <w:highlight w:val="none"/>
          <w:shd w:val="clear" w:color="auto" w:fill="FFFF00"/>
          <w:lang w:val="en-US" w:eastAsia="zh-CN"/>
        </w:rPr>
      </w:pPr>
      <w:r>
        <w:rPr>
          <w:rFonts w:hint="default" w:ascii="Times New Roman" w:hAnsi="Times New Roman" w:eastAsia="黑体" w:cs="Times New Roman"/>
          <w:bCs/>
          <w:snapToGrid w:val="0"/>
          <w:color w:val="auto"/>
          <w:kern w:val="0"/>
          <w:sz w:val="32"/>
          <w:szCs w:val="32"/>
          <w:highlight w:val="none"/>
        </w:rPr>
        <w:t>四、</w:t>
      </w:r>
      <w:r>
        <w:rPr>
          <w:rFonts w:hint="default" w:ascii="Times New Roman" w:hAnsi="Times New Roman" w:eastAsia="黑体" w:cs="Times New Roman"/>
          <w:b w:val="0"/>
          <w:bCs w:val="0"/>
          <w:snapToGrid w:val="0"/>
          <w:color w:val="auto"/>
          <w:kern w:val="0"/>
          <w:sz w:val="32"/>
          <w:szCs w:val="32"/>
          <w:highlight w:val="none"/>
          <w:lang w:val="en-US" w:eastAsia="zh-CN"/>
        </w:rPr>
        <w:t>存在困难与建议</w:t>
      </w:r>
    </w:p>
    <w:p>
      <w:pPr>
        <w:pStyle w:val="7"/>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firstLine="643" w:firstLineChars="201"/>
        <w:jc w:val="both"/>
        <w:textAlignment w:val="auto"/>
        <w:rPr>
          <w:rFonts w:hint="default" w:ascii="楷体_GB2312" w:hAnsi="楷体_GB2312" w:eastAsia="楷体_GB2312" w:cs="楷体_GB2312"/>
          <w:b w:val="0"/>
          <w:bCs w:val="0"/>
          <w:snapToGrid w:val="0"/>
          <w:color w:val="auto"/>
          <w:kern w:val="0"/>
          <w:sz w:val="32"/>
          <w:szCs w:val="32"/>
          <w:highlight w:val="none"/>
          <w:lang w:eastAsia="zh-CN"/>
        </w:rPr>
      </w:pPr>
      <w:r>
        <w:rPr>
          <w:rFonts w:hint="default" w:ascii="楷体_GB2312" w:hAnsi="楷体_GB2312" w:eastAsia="楷体_GB2312" w:cs="楷体_GB2312"/>
          <w:b w:val="0"/>
          <w:bCs w:val="0"/>
          <w:snapToGrid w:val="0"/>
          <w:color w:val="auto"/>
          <w:kern w:val="0"/>
          <w:sz w:val="32"/>
          <w:szCs w:val="32"/>
          <w:highlight w:val="none"/>
          <w:lang w:val="en-US" w:eastAsia="zh-CN"/>
        </w:rPr>
        <w:t>（一）</w:t>
      </w:r>
      <w:r>
        <w:rPr>
          <w:rFonts w:hint="default" w:ascii="楷体_GB2312" w:hAnsi="楷体_GB2312" w:eastAsia="楷体_GB2312" w:cs="楷体_GB2312"/>
          <w:b w:val="0"/>
          <w:bCs w:val="0"/>
          <w:snapToGrid w:val="0"/>
          <w:color w:val="auto"/>
          <w:kern w:val="0"/>
          <w:sz w:val="32"/>
          <w:szCs w:val="32"/>
          <w:highlight w:val="none"/>
          <w:lang w:eastAsia="zh-CN"/>
        </w:rPr>
        <w:t>存在的困难</w:t>
      </w:r>
      <w:r>
        <w:rPr>
          <w:rFonts w:hint="eastAsia" w:ascii="楷体_GB2312" w:hAnsi="楷体_GB2312" w:eastAsia="楷体_GB2312" w:cs="楷体_GB2312"/>
          <w:b w:val="0"/>
          <w:bCs w:val="0"/>
          <w:snapToGrid w:val="0"/>
          <w:color w:val="auto"/>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napToGrid w:val="0"/>
          <w:color w:val="auto"/>
          <w:kern w:val="0"/>
          <w:sz w:val="32"/>
          <w:szCs w:val="32"/>
          <w:highlight w:val="none"/>
          <w:lang w:val="en-US" w:eastAsia="zh-CN"/>
        </w:rPr>
      </w:pPr>
      <w:r>
        <w:rPr>
          <w:rFonts w:hint="default" w:ascii="Times New Roman" w:hAnsi="Times New Roman" w:eastAsia="仿宋_GB2312" w:cs="Times New Roman"/>
          <w:b w:val="0"/>
          <w:bCs w:val="0"/>
          <w:snapToGrid w:val="0"/>
          <w:color w:val="auto"/>
          <w:kern w:val="0"/>
          <w:sz w:val="32"/>
          <w:szCs w:val="32"/>
          <w:highlight w:val="none"/>
          <w:lang w:val="en-US" w:eastAsia="zh-CN"/>
        </w:rPr>
        <w:t>乡村医生</w:t>
      </w:r>
      <w:r>
        <w:rPr>
          <w:rFonts w:hint="default" w:ascii="Times New Roman" w:hAnsi="Times New Roman" w:eastAsia="仿宋_GB2312" w:cs="Times New Roman"/>
          <w:b w:val="0"/>
          <w:bCs w:val="0"/>
          <w:snapToGrid w:val="0"/>
          <w:color w:val="auto"/>
          <w:kern w:val="0"/>
          <w:sz w:val="32"/>
          <w:szCs w:val="32"/>
          <w:highlight w:val="none"/>
          <w:lang w:eastAsia="zh-CN"/>
        </w:rPr>
        <w:t>实施基本药物制度积极性有待提高。</w:t>
      </w:r>
      <w:r>
        <w:commentReference w:id="1"/>
      </w:r>
      <w:r>
        <w:rPr>
          <w:rFonts w:hint="default" w:ascii="Times New Roman" w:hAnsi="Times New Roman" w:eastAsia="仿宋_GB2312" w:cs="Times New Roman"/>
          <w:snapToGrid w:val="0"/>
          <w:color w:val="auto"/>
          <w:kern w:val="0"/>
          <w:sz w:val="32"/>
          <w:szCs w:val="32"/>
          <w:highlight w:val="none"/>
          <w:lang w:val="en-US" w:eastAsia="zh-CN"/>
        </w:rPr>
        <w:t>随着人民生活水平提高，相应药品销售收入也有所提高，目前村卫生站以</w:t>
      </w:r>
      <w:r>
        <w:rPr>
          <w:rFonts w:hint="default" w:ascii="Times New Roman" w:hAnsi="Times New Roman" w:eastAsia="仿宋_GB2312" w:cs="Times New Roman"/>
          <w:snapToGrid w:val="0"/>
          <w:color w:val="auto"/>
          <w:kern w:val="0"/>
          <w:sz w:val="32"/>
          <w:szCs w:val="32"/>
          <w:highlight w:val="none"/>
          <w:lang w:eastAsia="zh-CN"/>
        </w:rPr>
        <w:t>公建民营为主，因实施基本药物制度后药品零差率销售将导致乡村医生收入减少，同时部分地区未完成镇村一体化，对</w:t>
      </w:r>
      <w:r>
        <w:rPr>
          <w:rFonts w:hint="default" w:ascii="Times New Roman" w:hAnsi="Times New Roman" w:eastAsia="仿宋_GB2312" w:cs="Times New Roman"/>
          <w:snapToGrid w:val="0"/>
          <w:color w:val="auto"/>
          <w:kern w:val="0"/>
          <w:sz w:val="32"/>
          <w:szCs w:val="32"/>
          <w:highlight w:val="none"/>
          <w:lang w:val="en-US" w:eastAsia="zh-CN"/>
        </w:rPr>
        <w:t>村卫生站实施基本药物制度的补助资金水平低，直接限制乡村医生</w:t>
      </w:r>
      <w:r>
        <w:rPr>
          <w:rFonts w:hint="default" w:ascii="Times New Roman" w:hAnsi="Times New Roman" w:eastAsia="仿宋_GB2312" w:cs="Times New Roman"/>
          <w:snapToGrid w:val="0"/>
          <w:color w:val="auto"/>
          <w:kern w:val="0"/>
          <w:sz w:val="32"/>
          <w:szCs w:val="32"/>
          <w:highlight w:val="none"/>
          <w:lang w:eastAsia="zh-CN"/>
        </w:rPr>
        <w:t>实施基本药物制度的积极性。</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firstLine="643" w:firstLineChars="201"/>
        <w:jc w:val="both"/>
        <w:textAlignment w:val="auto"/>
        <w:rPr>
          <w:rFonts w:hint="default" w:ascii="楷体_GB2312" w:hAnsi="楷体_GB2312" w:eastAsia="楷体_GB2312" w:cs="楷体_GB2312"/>
          <w:b w:val="0"/>
          <w:bCs w:val="0"/>
          <w:snapToGrid w:val="0"/>
          <w:color w:val="auto"/>
          <w:kern w:val="0"/>
          <w:sz w:val="32"/>
          <w:szCs w:val="32"/>
          <w:highlight w:val="none"/>
          <w:lang w:eastAsia="zh-CN"/>
        </w:rPr>
      </w:pPr>
      <w:r>
        <w:rPr>
          <w:rFonts w:hint="default" w:ascii="楷体_GB2312" w:hAnsi="楷体_GB2312" w:eastAsia="楷体_GB2312" w:cs="楷体_GB2312"/>
          <w:b w:val="0"/>
          <w:bCs w:val="0"/>
          <w:snapToGrid w:val="0"/>
          <w:color w:val="auto"/>
          <w:kern w:val="0"/>
          <w:sz w:val="32"/>
          <w:szCs w:val="32"/>
          <w:highlight w:val="none"/>
          <w:lang w:val="en-US" w:eastAsia="zh-CN"/>
        </w:rPr>
        <w:t>（二）</w:t>
      </w:r>
      <w:r>
        <w:rPr>
          <w:rFonts w:hint="default" w:ascii="楷体_GB2312" w:hAnsi="楷体_GB2312" w:eastAsia="楷体_GB2312" w:cs="楷体_GB2312"/>
          <w:b w:val="0"/>
          <w:bCs w:val="0"/>
          <w:snapToGrid w:val="0"/>
          <w:color w:val="auto"/>
          <w:kern w:val="0"/>
          <w:sz w:val="32"/>
          <w:szCs w:val="32"/>
          <w:highlight w:val="none"/>
          <w:lang w:eastAsia="zh-CN"/>
        </w:rPr>
        <w:t>工作建议</w:t>
      </w:r>
      <w:r>
        <w:rPr>
          <w:rFonts w:hint="eastAsia" w:ascii="楷体_GB2312" w:hAnsi="楷体_GB2312" w:eastAsia="楷体_GB2312" w:cs="楷体_GB2312"/>
          <w:b w:val="0"/>
          <w:bCs w:val="0"/>
          <w:snapToGrid w:val="0"/>
          <w:color w:val="auto"/>
          <w:kern w:val="0"/>
          <w:sz w:val="32"/>
          <w:szCs w:val="32"/>
          <w:highlight w:val="none"/>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0"/>
        <w:jc w:val="both"/>
        <w:textAlignment w:val="auto"/>
        <w:rPr>
          <w:rFonts w:hint="default" w:ascii="Times New Roman" w:hAnsi="Times New Roman" w:eastAsia="仿宋_GB2312" w:cs="Times New Roman"/>
          <w:bCs/>
          <w:snapToGrid w:val="0"/>
          <w:color w:val="auto"/>
          <w:kern w:val="0"/>
          <w:sz w:val="32"/>
          <w:szCs w:val="32"/>
          <w:highlight w:val="none"/>
        </w:rPr>
      </w:pPr>
      <w:r>
        <w:rPr>
          <w:rFonts w:hint="default" w:ascii="Times New Roman" w:hAnsi="Times New Roman" w:eastAsia="仿宋_GB2312" w:cs="Times New Roman"/>
          <w:b w:val="0"/>
          <w:bCs/>
          <w:snapToGrid w:val="0"/>
          <w:color w:val="auto"/>
          <w:kern w:val="0"/>
          <w:sz w:val="32"/>
          <w:szCs w:val="32"/>
          <w:highlight w:val="none"/>
          <w:lang w:val="en-US" w:eastAsia="zh-CN"/>
        </w:rPr>
        <w:t>广东在全国属人口大省,基层医疗卫生机构和村卫生站体系庞大</w:t>
      </w:r>
      <w:r>
        <w:rPr>
          <w:rFonts w:hint="eastAsia" w:ascii="Times New Roman" w:hAnsi="Times New Roman" w:eastAsia="仿宋_GB2312" w:cs="Times New Roman"/>
          <w:b w:val="0"/>
          <w:bCs/>
          <w:snapToGrid w:val="0"/>
          <w:color w:val="auto"/>
          <w:kern w:val="0"/>
          <w:sz w:val="32"/>
          <w:szCs w:val="32"/>
          <w:highlight w:val="none"/>
          <w:lang w:val="en-US" w:eastAsia="zh-CN"/>
        </w:rPr>
        <w:t>，</w:t>
      </w:r>
      <w:r>
        <w:rPr>
          <w:rFonts w:hint="default" w:ascii="Times New Roman" w:hAnsi="Times New Roman" w:eastAsia="仿宋_GB2312" w:cs="Times New Roman"/>
          <w:b w:val="0"/>
          <w:bCs/>
          <w:snapToGrid w:val="0"/>
          <w:color w:val="auto"/>
          <w:kern w:val="0"/>
          <w:sz w:val="32"/>
          <w:szCs w:val="32"/>
          <w:highlight w:val="none"/>
          <w:lang w:val="en-US" w:eastAsia="zh-CN"/>
        </w:rPr>
        <w:t>2021年6月，国家卫生健康委《关于做好2021年基本药物制度补助项目工作的通知》要求，为进一步加强对村医的支持力度，将村卫生室人均补助标准由8元提至10元。目前广东根据因素法按各地人口、卫生和财力系数等对中央资金进行测算分配，分配后人均补助与国家补助标准仍有差距。因此，建议国家卫生健康委在联合财政部印发国家基本药物制度补助管理办法或下达年度资金时，能明确补助标准及中央和地方财政分担比例（如参照基本公共卫生服务补助资金管理办法由中央财政补助30%后，其余部分由各级财政分级分担）。以便于各省根据文件要求更好的落实基本药物制度，进一步保障基层用药需求，促进药品供应保障体系建设，强化基本药物的功能定位，推动分级诊疗，增强人民群众的获得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snapToGrid w:val="0"/>
          <w:color w:val="auto"/>
          <w:kern w:val="0"/>
          <w:sz w:val="32"/>
          <w:szCs w:val="32"/>
          <w:highlight w:val="none"/>
        </w:rPr>
      </w:pPr>
      <w:r>
        <w:rPr>
          <w:rFonts w:hint="default" w:ascii="Times New Roman" w:hAnsi="Times New Roman" w:eastAsia="黑体" w:cs="Times New Roman"/>
          <w:bCs/>
          <w:snapToGrid w:val="0"/>
          <w:color w:val="auto"/>
          <w:kern w:val="0"/>
          <w:sz w:val="32"/>
          <w:szCs w:val="32"/>
          <w:highlight w:val="none"/>
          <w:lang w:val="en-US" w:eastAsia="zh-CN"/>
        </w:rPr>
        <w:t>五、</w:t>
      </w:r>
      <w:r>
        <w:rPr>
          <w:rFonts w:hint="default" w:ascii="Times New Roman" w:hAnsi="Times New Roman" w:eastAsia="黑体" w:cs="Times New Roman"/>
          <w:bCs/>
          <w:snapToGrid w:val="0"/>
          <w:color w:val="auto"/>
          <w:kern w:val="0"/>
          <w:sz w:val="32"/>
          <w:szCs w:val="32"/>
          <w:highlight w:val="none"/>
        </w:rPr>
        <w:t>绩效自评结果拟应用和公开情况</w:t>
      </w:r>
    </w:p>
    <w:p>
      <w:pPr>
        <w:pStyle w:val="7"/>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firstLine="643" w:firstLineChars="201"/>
        <w:jc w:val="both"/>
        <w:textAlignment w:val="auto"/>
        <w:rPr>
          <w:rFonts w:hint="eastAsia" w:ascii="楷体_GB2312" w:hAnsi="楷体_GB2312" w:eastAsia="楷体_GB2312" w:cs="楷体_GB2312"/>
          <w:b w:val="0"/>
          <w:bCs w:val="0"/>
          <w:snapToGrid w:val="0"/>
          <w:color w:val="auto"/>
          <w:kern w:val="0"/>
          <w:sz w:val="32"/>
          <w:szCs w:val="32"/>
          <w:highlight w:val="none"/>
          <w:lang w:eastAsia="zh-CN"/>
        </w:rPr>
      </w:pPr>
      <w:r>
        <w:rPr>
          <w:rFonts w:hint="eastAsia" w:ascii="楷体_GB2312" w:hAnsi="楷体_GB2312" w:eastAsia="楷体_GB2312" w:cs="楷体_GB2312"/>
          <w:b w:val="0"/>
          <w:bCs w:val="0"/>
          <w:snapToGrid w:val="0"/>
          <w:color w:val="auto"/>
          <w:kern w:val="0"/>
          <w:sz w:val="32"/>
          <w:szCs w:val="32"/>
          <w:highlight w:val="none"/>
          <w:lang w:eastAsia="zh-CN"/>
        </w:rPr>
        <w:t>（</w:t>
      </w:r>
      <w:r>
        <w:rPr>
          <w:rFonts w:hint="eastAsia" w:ascii="楷体_GB2312" w:hAnsi="楷体_GB2312" w:eastAsia="楷体_GB2312" w:cs="楷体_GB2312"/>
          <w:b w:val="0"/>
          <w:bCs w:val="0"/>
          <w:snapToGrid w:val="0"/>
          <w:color w:val="auto"/>
          <w:kern w:val="0"/>
          <w:sz w:val="32"/>
          <w:szCs w:val="32"/>
          <w:highlight w:val="none"/>
          <w:lang w:val="en-US" w:eastAsia="zh-CN"/>
        </w:rPr>
        <w:t>一</w:t>
      </w:r>
      <w:r>
        <w:rPr>
          <w:rFonts w:hint="eastAsia" w:ascii="楷体_GB2312" w:hAnsi="楷体_GB2312" w:eastAsia="楷体_GB2312" w:cs="楷体_GB2312"/>
          <w:b w:val="0"/>
          <w:bCs w:val="0"/>
          <w:snapToGrid w:val="0"/>
          <w:color w:val="auto"/>
          <w:kern w:val="0"/>
          <w:sz w:val="32"/>
          <w:szCs w:val="32"/>
          <w:highlight w:val="none"/>
          <w:lang w:eastAsia="zh-CN"/>
        </w:rPr>
        <w:t>）</w:t>
      </w:r>
      <w:r>
        <w:rPr>
          <w:rFonts w:hint="eastAsia" w:ascii="楷体_GB2312" w:hAnsi="楷体_GB2312" w:eastAsia="楷体_GB2312" w:cs="楷体_GB2312"/>
          <w:b w:val="0"/>
          <w:bCs w:val="0"/>
          <w:snapToGrid w:val="0"/>
          <w:color w:val="auto"/>
          <w:kern w:val="0"/>
          <w:sz w:val="32"/>
          <w:szCs w:val="32"/>
          <w:highlight w:val="none"/>
        </w:rPr>
        <w:t>绩效自评结果拟应用</w:t>
      </w:r>
      <w:r>
        <w:rPr>
          <w:rFonts w:hint="eastAsia" w:ascii="楷体_GB2312" w:hAnsi="楷体_GB2312" w:eastAsia="楷体_GB2312" w:cs="楷体_GB2312"/>
          <w:b w:val="0"/>
          <w:bCs w:val="0"/>
          <w:snapToGrid w:val="0"/>
          <w:color w:val="auto"/>
          <w:kern w:val="0"/>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bCs w:val="0"/>
          <w:snapToGrid w:val="0"/>
          <w:color w:val="auto"/>
          <w:kern w:val="0"/>
          <w:sz w:val="32"/>
          <w:szCs w:val="32"/>
          <w:highlight w:val="none"/>
          <w:lang w:eastAsia="zh-CN"/>
        </w:rPr>
      </w:pPr>
      <w:r>
        <w:rPr>
          <w:rFonts w:hint="default" w:ascii="Times New Roman" w:hAnsi="Times New Roman" w:eastAsia="仿宋_GB2312" w:cs="Times New Roman"/>
          <w:bCs/>
          <w:snapToGrid w:val="0"/>
          <w:color w:val="auto"/>
          <w:kern w:val="0"/>
          <w:sz w:val="32"/>
          <w:szCs w:val="32"/>
          <w:highlight w:val="none"/>
          <w:lang w:val="en-US" w:eastAsia="zh-CN"/>
        </w:rPr>
        <w:t>将本次绩效自评过程中发现的问题进行归纳总结，督促各地各单位限期整改。同时，</w:t>
      </w:r>
      <w:r>
        <w:rPr>
          <w:rFonts w:hint="default" w:ascii="Times New Roman" w:hAnsi="Times New Roman" w:eastAsia="仿宋_GB2312" w:cs="Times New Roman"/>
          <w:b w:val="0"/>
          <w:bCs/>
          <w:snapToGrid w:val="0"/>
          <w:color w:val="auto"/>
          <w:kern w:val="0"/>
          <w:sz w:val="32"/>
          <w:szCs w:val="32"/>
          <w:highlight w:val="none"/>
          <w:lang w:val="en-US" w:eastAsia="zh-CN"/>
        </w:rPr>
        <w:t>根据《财政部国家卫生健康委关于下达2022年基本药物制度补助资金预算的通知》（财社〔2022〕51号）要求，拟将</w:t>
      </w:r>
      <w:r>
        <w:rPr>
          <w:rFonts w:hint="default" w:ascii="Times New Roman" w:hAnsi="Times New Roman" w:eastAsia="仿宋_GB2312" w:cs="Times New Roman"/>
          <w:b w:val="0"/>
          <w:bCs/>
          <w:snapToGrid w:val="0"/>
          <w:color w:val="auto"/>
          <w:kern w:val="0"/>
          <w:sz w:val="32"/>
          <w:szCs w:val="32"/>
          <w:highlight w:val="none"/>
        </w:rPr>
        <w:t>绩效自评结果</w:t>
      </w:r>
      <w:r>
        <w:rPr>
          <w:rFonts w:hint="default" w:ascii="Times New Roman" w:hAnsi="Times New Roman" w:eastAsia="仿宋_GB2312" w:cs="Times New Roman"/>
          <w:b w:val="0"/>
          <w:bCs/>
          <w:snapToGrid w:val="0"/>
          <w:color w:val="auto"/>
          <w:kern w:val="0"/>
          <w:sz w:val="32"/>
          <w:szCs w:val="32"/>
          <w:highlight w:val="none"/>
          <w:lang w:eastAsia="zh-CN"/>
        </w:rPr>
        <w:t>与</w:t>
      </w:r>
      <w:r>
        <w:rPr>
          <w:rFonts w:hint="default" w:ascii="Times New Roman" w:hAnsi="Times New Roman" w:eastAsia="仿宋_GB2312" w:cs="Times New Roman"/>
          <w:b w:val="0"/>
          <w:bCs/>
          <w:snapToGrid w:val="0"/>
          <w:color w:val="auto"/>
          <w:kern w:val="0"/>
          <w:sz w:val="32"/>
          <w:szCs w:val="32"/>
          <w:highlight w:val="none"/>
          <w:lang w:val="en-US" w:eastAsia="zh-CN"/>
        </w:rPr>
        <w:t>下一年度中央</w:t>
      </w:r>
      <w:r>
        <w:rPr>
          <w:rFonts w:hint="default" w:ascii="Times New Roman" w:hAnsi="Times New Roman" w:eastAsia="仿宋_GB2312" w:cs="Times New Roman"/>
          <w:b w:val="0"/>
          <w:bCs/>
          <w:snapToGrid w:val="0"/>
          <w:color w:val="auto"/>
          <w:kern w:val="0"/>
          <w:sz w:val="32"/>
          <w:szCs w:val="32"/>
          <w:highlight w:val="none"/>
          <w:lang w:eastAsia="zh-CN"/>
        </w:rPr>
        <w:t>财政补助资金安排挂钩</w:t>
      </w:r>
      <w:r>
        <w:rPr>
          <w:rFonts w:hint="default" w:ascii="Times New Roman" w:hAnsi="Times New Roman" w:cs="Times New Roman"/>
          <w:b w:val="0"/>
          <w:bCs/>
          <w:snapToGrid w:val="0"/>
          <w:color w:val="auto"/>
          <w:kern w:val="0"/>
          <w:sz w:val="32"/>
          <w:szCs w:val="32"/>
          <w:highlight w:val="none"/>
          <w:lang w:eastAsia="zh-CN"/>
        </w:rPr>
        <w:t>。</w:t>
      </w:r>
    </w:p>
    <w:p>
      <w:pPr>
        <w:pStyle w:val="7"/>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firstLine="643" w:firstLineChars="201"/>
        <w:jc w:val="both"/>
        <w:textAlignment w:val="auto"/>
        <w:rPr>
          <w:rFonts w:hint="default" w:ascii="楷体_GB2312" w:hAnsi="楷体_GB2312" w:eastAsia="楷体_GB2312" w:cs="楷体_GB2312"/>
          <w:b w:val="0"/>
          <w:bCs w:val="0"/>
          <w:snapToGrid w:val="0"/>
          <w:color w:val="auto"/>
          <w:kern w:val="0"/>
          <w:sz w:val="32"/>
          <w:szCs w:val="32"/>
          <w:highlight w:val="none"/>
          <w:lang w:val="en-US" w:eastAsia="zh-CN"/>
        </w:rPr>
      </w:pPr>
      <w:r>
        <w:rPr>
          <w:rFonts w:hint="default" w:ascii="楷体_GB2312" w:hAnsi="楷体_GB2312" w:eastAsia="楷体_GB2312" w:cs="楷体_GB2312"/>
          <w:b w:val="0"/>
          <w:bCs w:val="0"/>
          <w:snapToGrid w:val="0"/>
          <w:color w:val="auto"/>
          <w:kern w:val="0"/>
          <w:sz w:val="32"/>
          <w:szCs w:val="32"/>
          <w:highlight w:val="none"/>
          <w:lang w:eastAsia="zh-CN"/>
        </w:rPr>
        <w:t>（</w:t>
      </w:r>
      <w:r>
        <w:rPr>
          <w:rFonts w:hint="default" w:ascii="楷体_GB2312" w:hAnsi="楷体_GB2312" w:eastAsia="楷体_GB2312" w:cs="楷体_GB2312"/>
          <w:b w:val="0"/>
          <w:bCs w:val="0"/>
          <w:snapToGrid w:val="0"/>
          <w:color w:val="auto"/>
          <w:kern w:val="0"/>
          <w:sz w:val="32"/>
          <w:szCs w:val="32"/>
          <w:highlight w:val="none"/>
          <w:lang w:val="en-US" w:eastAsia="zh-CN"/>
        </w:rPr>
        <w:t>二</w:t>
      </w:r>
      <w:r>
        <w:rPr>
          <w:rFonts w:hint="default" w:ascii="楷体_GB2312" w:hAnsi="楷体_GB2312" w:eastAsia="楷体_GB2312" w:cs="楷体_GB2312"/>
          <w:b w:val="0"/>
          <w:bCs w:val="0"/>
          <w:snapToGrid w:val="0"/>
          <w:color w:val="auto"/>
          <w:kern w:val="0"/>
          <w:sz w:val="32"/>
          <w:szCs w:val="32"/>
          <w:highlight w:val="none"/>
          <w:lang w:eastAsia="zh-CN"/>
        </w:rPr>
        <w:t>）绩效自评</w:t>
      </w:r>
      <w:r>
        <w:rPr>
          <w:rFonts w:hint="default" w:ascii="楷体_GB2312" w:hAnsi="楷体_GB2312" w:eastAsia="楷体_GB2312" w:cs="楷体_GB2312"/>
          <w:b w:val="0"/>
          <w:bCs w:val="0"/>
          <w:snapToGrid w:val="0"/>
          <w:color w:val="auto"/>
          <w:kern w:val="0"/>
          <w:sz w:val="32"/>
          <w:szCs w:val="32"/>
          <w:highlight w:val="none"/>
          <w:lang w:val="en-US" w:eastAsia="zh-CN"/>
        </w:rPr>
        <w:t>结果拟公开情况</w:t>
      </w:r>
      <w:r>
        <w:rPr>
          <w:rFonts w:hint="eastAsia" w:ascii="楷体_GB2312" w:hAnsi="楷体_GB2312" w:eastAsia="楷体_GB2312" w:cs="楷体_GB2312"/>
          <w:b w:val="0"/>
          <w:bCs w:val="0"/>
          <w:snapToGrid w:val="0"/>
          <w:color w:val="auto"/>
          <w:kern w:val="0"/>
          <w:sz w:val="32"/>
          <w:szCs w:val="32"/>
          <w:highlight w:val="none"/>
          <w:lang w:val="en-US"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Cs/>
          <w:snapToGrid w:val="0"/>
          <w:color w:val="auto"/>
          <w:kern w:val="0"/>
          <w:sz w:val="32"/>
          <w:szCs w:val="32"/>
          <w:highlight w:val="none"/>
          <w:lang w:val="en-US" w:eastAsia="zh-CN"/>
        </w:rPr>
      </w:pPr>
      <w:r>
        <w:rPr>
          <w:rFonts w:hint="default" w:ascii="Times New Roman" w:hAnsi="Times New Roman" w:cs="Times New Roman"/>
          <w:bCs/>
          <w:snapToGrid w:val="0"/>
          <w:color w:val="auto"/>
          <w:kern w:val="0"/>
          <w:sz w:val="32"/>
          <w:szCs w:val="32"/>
          <w:highlight w:val="none"/>
          <w:lang w:val="en-US" w:eastAsia="zh-CN"/>
        </w:rPr>
        <w:t>按政府信息公开要求，</w:t>
      </w:r>
      <w:r>
        <w:rPr>
          <w:rFonts w:hint="default" w:ascii="Times New Roman" w:hAnsi="Times New Roman" w:eastAsia="仿宋_GB2312" w:cs="Times New Roman"/>
          <w:bCs/>
          <w:snapToGrid w:val="0"/>
          <w:color w:val="auto"/>
          <w:kern w:val="0"/>
          <w:sz w:val="32"/>
          <w:szCs w:val="32"/>
          <w:highlight w:val="none"/>
          <w:lang w:val="en-US" w:eastAsia="zh-CN"/>
        </w:rPr>
        <w:t>本绩效自评报告拟在广东省卫生健康委门户网站</w:t>
      </w:r>
      <w:r>
        <w:rPr>
          <w:rFonts w:hint="default" w:ascii="Times New Roman" w:hAnsi="Times New Roman" w:cs="Times New Roman"/>
          <w:bCs/>
          <w:snapToGrid w:val="0"/>
          <w:color w:val="auto"/>
          <w:kern w:val="0"/>
          <w:sz w:val="32"/>
          <w:szCs w:val="32"/>
          <w:highlight w:val="none"/>
          <w:lang w:val="en-US" w:eastAsia="zh-CN"/>
        </w:rPr>
        <w:t>（http://wsjkw.gd.gov.cn/)主动</w:t>
      </w:r>
      <w:r>
        <w:rPr>
          <w:rFonts w:hint="default" w:ascii="Times New Roman" w:hAnsi="Times New Roman" w:eastAsia="仿宋_GB2312" w:cs="Times New Roman"/>
          <w:bCs/>
          <w:snapToGrid w:val="0"/>
          <w:color w:val="auto"/>
          <w:kern w:val="0"/>
          <w:sz w:val="32"/>
          <w:szCs w:val="32"/>
          <w:highlight w:val="none"/>
          <w:lang w:val="en-US" w:eastAsia="zh-CN"/>
        </w:rPr>
        <w:t>公示，</w:t>
      </w:r>
      <w:r>
        <w:rPr>
          <w:rFonts w:hint="default" w:ascii="Times New Roman" w:hAnsi="Times New Roman" w:cs="Times New Roman"/>
          <w:bCs/>
          <w:snapToGrid w:val="0"/>
          <w:color w:val="auto"/>
          <w:kern w:val="0"/>
          <w:sz w:val="32"/>
          <w:szCs w:val="32"/>
          <w:highlight w:val="none"/>
          <w:lang w:val="en-US" w:eastAsia="zh-CN"/>
        </w:rPr>
        <w:t>自觉接受</w:t>
      </w:r>
      <w:r>
        <w:rPr>
          <w:rFonts w:hint="default" w:ascii="Times New Roman" w:hAnsi="Times New Roman" w:eastAsia="仿宋_GB2312" w:cs="Times New Roman"/>
          <w:bCs/>
          <w:snapToGrid w:val="0"/>
          <w:color w:val="auto"/>
          <w:kern w:val="0"/>
          <w:sz w:val="32"/>
          <w:szCs w:val="32"/>
          <w:highlight w:val="none"/>
          <w:lang w:val="en-US" w:eastAsia="zh-CN"/>
        </w:rPr>
        <w:t>社会</w:t>
      </w:r>
      <w:r>
        <w:rPr>
          <w:rFonts w:hint="default" w:ascii="Times New Roman" w:hAnsi="Times New Roman" w:cs="Times New Roman"/>
          <w:bCs/>
          <w:snapToGrid w:val="0"/>
          <w:color w:val="auto"/>
          <w:kern w:val="0"/>
          <w:sz w:val="32"/>
          <w:szCs w:val="32"/>
          <w:highlight w:val="none"/>
          <w:lang w:val="en-US" w:eastAsia="zh-CN"/>
        </w:rPr>
        <w:t>及公众</w:t>
      </w:r>
      <w:r>
        <w:rPr>
          <w:rFonts w:hint="default" w:ascii="Times New Roman" w:hAnsi="Times New Roman" w:eastAsia="仿宋_GB2312" w:cs="Times New Roman"/>
          <w:bCs/>
          <w:snapToGrid w:val="0"/>
          <w:color w:val="auto"/>
          <w:kern w:val="0"/>
          <w:sz w:val="32"/>
          <w:szCs w:val="32"/>
          <w:highlight w:val="none"/>
          <w:lang w:val="en-US" w:eastAsia="zh-CN"/>
        </w:rPr>
        <w:t>监督。</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黑体" w:cs="Times New Roman"/>
          <w:bCs/>
          <w:snapToGrid w:val="0"/>
          <w:color w:val="auto"/>
          <w:kern w:val="0"/>
          <w:sz w:val="32"/>
          <w:szCs w:val="32"/>
          <w:highlight w:val="none"/>
        </w:rPr>
      </w:pPr>
      <w:r>
        <w:rPr>
          <w:rFonts w:hint="default" w:ascii="Times New Roman" w:hAnsi="Times New Roman" w:eastAsia="黑体" w:cs="Times New Roman"/>
          <w:bCs/>
          <w:snapToGrid w:val="0"/>
          <w:color w:val="auto"/>
          <w:kern w:val="0"/>
          <w:sz w:val="32"/>
          <w:szCs w:val="32"/>
          <w:highlight w:val="none"/>
          <w:lang w:val="en-US" w:eastAsia="zh-CN"/>
        </w:rPr>
        <w:t>六</w:t>
      </w:r>
      <w:r>
        <w:rPr>
          <w:rFonts w:hint="default" w:ascii="Times New Roman" w:hAnsi="Times New Roman" w:eastAsia="黑体" w:cs="Times New Roman"/>
          <w:bCs/>
          <w:snapToGrid w:val="0"/>
          <w:color w:val="auto"/>
          <w:kern w:val="0"/>
          <w:sz w:val="32"/>
          <w:szCs w:val="32"/>
          <w:highlight w:val="none"/>
        </w:rPr>
        <w:t>、其他需要说明的问题</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无</w:t>
      </w:r>
    </w:p>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xudu" w:date="2023-06-21T15:14:00Z" w:initials="XD">
    <w:p w14:paraId="260D2213">
      <w:pPr>
        <w:pStyle w:val="4"/>
      </w:pPr>
      <w:r>
        <w:rPr>
          <w:rFonts w:hint="eastAsia"/>
          <w:lang w:val="en-US" w:eastAsia="zh-CN"/>
        </w:rPr>
        <w:t>(建议弱化疫情关联)</w:t>
      </w:r>
    </w:p>
  </w:comment>
  <w:comment w:id="1" w:author="xudu" w:date="2023-06-21T15:15:00Z" w:initials="XD">
    <w:p w14:paraId="030A6B89">
      <w:pPr>
        <w:pStyle w:val="4"/>
      </w:pPr>
      <w:r>
        <w:rPr>
          <w:rFonts w:hint="eastAsia"/>
          <w:lang w:val="en-US" w:eastAsia="zh-CN"/>
        </w:rPr>
        <w:t>（该信息建议内部掌握，不宜公开）</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60D2213" w15:done="0"/>
  <w15:commentEx w15:paraId="030A6B8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udu">
    <w15:presenceInfo w15:providerId="None" w15:userId="xud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wMDUyYzcxYzQ3NzZiYzk5MDM4NDczYjNmOTQwMjUifQ=="/>
  </w:docVars>
  <w:rsids>
    <w:rsidRoot w:val="27D96C30"/>
    <w:rsid w:val="27D96C30"/>
    <w:rsid w:val="6C1D7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1"/>
    <w:rPr>
      <w:rFonts w:hint="eastAsia" w:ascii="仿宋" w:hAnsi="仿宋" w:eastAsia="仿宋" w:cs="Times New Roman"/>
      <w:sz w:val="24"/>
      <w:szCs w:val="24"/>
      <w:lang w:val="zh-CN" w:bidi="ar-SA"/>
    </w:rPr>
  </w:style>
  <w:style w:type="paragraph" w:styleId="3">
    <w:name w:val="Title"/>
    <w:basedOn w:val="1"/>
    <w:next w:val="1"/>
    <w:qFormat/>
    <w:uiPriority w:val="0"/>
    <w:pPr>
      <w:keepNext w:val="0"/>
      <w:keepLines w:val="0"/>
      <w:widowControl w:val="0"/>
      <w:suppressLineNumbers w:val="0"/>
      <w:spacing w:before="0" w:beforeAutospacing="0" w:after="0" w:afterAutospacing="0" w:line="0" w:lineRule="atLeast"/>
      <w:ind w:left="0" w:right="0"/>
      <w:jc w:val="center"/>
    </w:pPr>
    <w:rPr>
      <w:rFonts w:ascii="Arial" w:hAnsi="Arial" w:eastAsia="黑体" w:cs="Arial"/>
      <w:kern w:val="2"/>
      <w:sz w:val="52"/>
      <w:szCs w:val="52"/>
      <w:lang w:val="en-US" w:eastAsia="zh-CN" w:bidi="ar"/>
    </w:rPr>
  </w:style>
  <w:style w:type="paragraph" w:styleId="4">
    <w:name w:val="annotation text"/>
    <w:basedOn w:val="1"/>
    <w:qFormat/>
    <w:uiPriority w:val="0"/>
    <w:pPr>
      <w:jc w:val="left"/>
    </w:pPr>
    <w:rPr>
      <w:rFonts w:ascii="Times New Roman" w:hAnsi="Times New Roman" w:eastAsia="仿宋_GB2312" w:cs="Times New Roman"/>
      <w:sz w:val="32"/>
      <w:szCs w:val="24"/>
      <w:lang w:bidi="ar-SA"/>
    </w:rPr>
  </w:style>
  <w:style w:type="paragraph" w:styleId="5">
    <w:name w:val="Body Text Indent"/>
    <w:basedOn w:val="1"/>
    <w:next w:val="1"/>
    <w:qFormat/>
    <w:uiPriority w:val="0"/>
    <w:pPr>
      <w:spacing w:line="150" w:lineRule="atLeast"/>
      <w:ind w:firstLine="420" w:firstLineChars="200"/>
      <w:textAlignment w:val="baseline"/>
    </w:pPr>
    <w:rPr>
      <w:rFonts w:ascii="Times New Roman" w:hAnsi="Times New Roman" w:eastAsia="仿宋_GB2312" w:cs="Times New Roman"/>
      <w:sz w:val="32"/>
      <w:szCs w:val="24"/>
      <w:lang w:bidi="ar-SA"/>
    </w:rPr>
  </w:style>
  <w:style w:type="paragraph" w:styleId="6">
    <w:name w:val="Plain Text"/>
    <w:basedOn w:val="1"/>
    <w:unhideWhenUsed/>
    <w:qFormat/>
    <w:uiPriority w:val="99"/>
    <w:rPr>
      <w:rFonts w:ascii="宋体" w:hAnsi="Courier New" w:eastAsia="宋体" w:cs="Courier New"/>
      <w:sz w:val="32"/>
      <w:szCs w:val="21"/>
      <w:lang w:bidi="ar-SA"/>
    </w:rPr>
  </w:style>
  <w:style w:type="paragraph" w:styleId="7">
    <w:name w:val="Normal (Web)"/>
    <w:basedOn w:val="1"/>
    <w:qFormat/>
    <w:uiPriority w:val="0"/>
    <w:pPr>
      <w:spacing w:before="100" w:beforeAutospacing="1" w:after="100" w:afterAutospacing="1"/>
      <w:jc w:val="left"/>
    </w:pPr>
    <w:rPr>
      <w:rFonts w:ascii="Times New Roman" w:hAnsi="Times New Roman" w:eastAsia="仿宋_GB2312" w:cs="Times New Roman"/>
      <w:kern w:val="0"/>
      <w:sz w:val="24"/>
      <w:szCs w:val="24"/>
      <w:lang w:bidi="ar-SA"/>
    </w:rPr>
  </w:style>
  <w:style w:type="paragraph" w:styleId="8">
    <w:name w:val="Body Text First Indent 2"/>
    <w:basedOn w:val="5"/>
    <w:next w:val="1"/>
    <w:qFormat/>
    <w:uiPriority w:val="0"/>
    <w:pPr>
      <w:spacing w:line="360" w:lineRule="auto"/>
    </w:pPr>
    <w:rPr>
      <w:rFonts w:eastAsia="宋体"/>
      <w:sz w:val="24"/>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9155</Words>
  <Characters>10384</Characters>
  <Lines>0</Lines>
  <Paragraphs>0</Paragraphs>
  <TotalTime>0</TotalTime>
  <ScaleCrop>false</ScaleCrop>
  <LinksUpToDate>false</LinksUpToDate>
  <CharactersWithSpaces>10543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2023-07-04T03:19:00Z</dcterms:created>
  <dc:creator>西门</dc:creator>
  <cp:lastModifiedBy>西门</cp:lastModifiedBy>
  <dcterms:modified xsi:type="dcterms:W3CDTF">2023-07-04T03:19:55Z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1F5BC810109245329CE6495F8569A3FB_11</vt:lpwstr>
  </property>
</Properties>
</file>