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广东</w:t>
      </w:r>
      <w:r>
        <w:rPr>
          <w:rFonts w:hint="default" w:ascii="Times New Roman" w:hAnsi="Times New Roman" w:eastAsia="方正小标宋简体" w:cs="Times New Roman"/>
          <w:b w:val="0"/>
          <w:bCs w:val="0"/>
          <w:color w:val="auto"/>
          <w:sz w:val="44"/>
          <w:szCs w:val="44"/>
          <w:highlight w:val="none"/>
        </w:rPr>
        <w:t>省</w:t>
      </w:r>
      <w:r>
        <w:rPr>
          <w:rFonts w:hint="default" w:ascii="Times New Roman" w:hAnsi="Times New Roman" w:eastAsia="方正小标宋简体" w:cs="Times New Roman"/>
          <w:b w:val="0"/>
          <w:bCs w:val="0"/>
          <w:color w:val="auto"/>
          <w:sz w:val="44"/>
          <w:szCs w:val="44"/>
          <w:highlight w:val="none"/>
          <w:u w:val="none"/>
          <w:lang w:val="en-US" w:eastAsia="zh-CN"/>
        </w:rPr>
        <w:t>计划生育转移支付</w:t>
      </w:r>
      <w:r>
        <w:rPr>
          <w:rFonts w:hint="default" w:ascii="Times New Roman" w:hAnsi="Times New Roman" w:eastAsia="方正小标宋简体" w:cs="Times New Roman"/>
          <w:b w:val="0"/>
          <w:bCs w:val="0"/>
          <w:color w:val="auto"/>
          <w:sz w:val="44"/>
          <w:szCs w:val="44"/>
          <w:highlight w:val="none"/>
          <w:lang w:eastAsia="zh-CN"/>
        </w:rPr>
        <w:t>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eastAsia="zh-CN"/>
        </w:rPr>
        <w:t>中央</w:t>
      </w:r>
      <w:r>
        <w:rPr>
          <w:rFonts w:hint="default" w:ascii="Times New Roman" w:hAnsi="Times New Roman" w:eastAsia="方正小标宋简体" w:cs="Times New Roman"/>
          <w:b w:val="0"/>
          <w:bCs w:val="0"/>
          <w:color w:val="auto"/>
          <w:sz w:val="44"/>
          <w:szCs w:val="44"/>
          <w:highlight w:val="none"/>
        </w:rPr>
        <w:t>转移支付20</w:t>
      </w:r>
      <w:r>
        <w:rPr>
          <w:rFonts w:hint="default" w:ascii="Times New Roman" w:hAnsi="Times New Roman" w:eastAsia="方正小标宋简体" w:cs="Times New Roman"/>
          <w:b w:val="0"/>
          <w:bCs w:val="0"/>
          <w:color w:val="auto"/>
          <w:sz w:val="44"/>
          <w:szCs w:val="44"/>
          <w:highlight w:val="none"/>
          <w:lang w:val="en-US" w:eastAsia="zh-CN"/>
        </w:rPr>
        <w:t>22</w:t>
      </w:r>
      <w:r>
        <w:rPr>
          <w:rFonts w:hint="default" w:ascii="Times New Roman" w:hAnsi="Times New Roman" w:eastAsia="方正小标宋简体" w:cs="Times New Roman"/>
          <w:b w:val="0"/>
          <w:bCs w:val="0"/>
          <w:color w:val="auto"/>
          <w:sz w:val="44"/>
          <w:szCs w:val="44"/>
          <w:highlight w:val="none"/>
        </w:rPr>
        <w:t>年度绩效自评报告</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640" w:firstLineChars="200"/>
        <w:jc w:val="left"/>
        <w:textAlignment w:val="auto"/>
        <w:rPr>
          <w:rFonts w:hint="default" w:ascii="Times New Roman" w:hAnsi="Times New Roman" w:eastAsia="仿宋_GB2312" w:cs="Times New Roman"/>
          <w:b w:val="0"/>
          <w:bCs/>
          <w:i w:val="0"/>
          <w:caps w:val="0"/>
          <w:color w:val="auto"/>
          <w:spacing w:val="0"/>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snapToGrid w:val="0"/>
          <w:color w:val="auto"/>
          <w:sz w:val="32"/>
          <w:szCs w:val="32"/>
          <w:highlight w:val="none"/>
        </w:rPr>
      </w:pPr>
      <w:r>
        <w:rPr>
          <w:rFonts w:hint="default" w:ascii="Times New Roman" w:hAnsi="Times New Roman" w:eastAsia="仿宋_GB2312" w:cs="Times New Roman"/>
          <w:b w:val="0"/>
          <w:bCs/>
          <w:i w:val="0"/>
          <w:caps w:val="0"/>
          <w:snapToGrid w:val="0"/>
          <w:color w:val="auto"/>
          <w:spacing w:val="0"/>
          <w:sz w:val="32"/>
          <w:szCs w:val="32"/>
          <w:highlight w:val="none"/>
        </w:rPr>
        <w:t>根据《</w:t>
      </w:r>
      <w:r>
        <w:rPr>
          <w:rFonts w:hint="default" w:ascii="Times New Roman" w:hAnsi="Times New Roman" w:eastAsia="仿宋_GB2312" w:cs="Times New Roman"/>
          <w:snapToGrid w:val="0"/>
          <w:color w:val="auto"/>
          <w:kern w:val="0"/>
          <w:sz w:val="32"/>
          <w:szCs w:val="32"/>
          <w:highlight w:val="none"/>
          <w:lang w:val="en-US" w:eastAsia="zh-CN" w:bidi="ar"/>
        </w:rPr>
        <w:t>财政部关于开展2022年度中央对地方转移支付预算执行情况绩效自评工作的通知</w:t>
      </w:r>
      <w:r>
        <w:rPr>
          <w:rFonts w:hint="default" w:ascii="Times New Roman" w:hAnsi="Times New Roman" w:eastAsia="仿宋_GB2312" w:cs="Times New Roman"/>
          <w:b w:val="0"/>
          <w:bCs/>
          <w:i w:val="0"/>
          <w:caps w:val="0"/>
          <w:snapToGrid w:val="0"/>
          <w:color w:val="auto"/>
          <w:spacing w:val="0"/>
          <w:sz w:val="32"/>
          <w:szCs w:val="32"/>
          <w:highlight w:val="none"/>
        </w:rPr>
        <w:t>》</w:t>
      </w:r>
      <w:r>
        <w:rPr>
          <w:rFonts w:hint="default" w:ascii="Times New Roman" w:hAnsi="Times New Roman" w:eastAsia="仿宋_GB2312" w:cs="Times New Roman"/>
          <w:b w:val="0"/>
          <w:bCs w:val="0"/>
          <w:snapToGrid w:val="0"/>
          <w:color w:val="auto"/>
          <w:sz w:val="32"/>
          <w:szCs w:val="32"/>
          <w:highlight w:val="none"/>
          <w:lang w:val="en-US" w:eastAsia="zh-CN"/>
        </w:rPr>
        <w:t>（财监〔2023〕1号）</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要求</w:t>
      </w:r>
      <w:r>
        <w:rPr>
          <w:rFonts w:hint="default" w:ascii="Times New Roman" w:hAnsi="Times New Roman" w:eastAsia="仿宋_GB2312" w:cs="Times New Roman"/>
          <w:snapToGrid w:val="0"/>
          <w:color w:val="auto"/>
          <w:kern w:val="0"/>
          <w:sz w:val="32"/>
          <w:szCs w:val="32"/>
          <w:highlight w:val="none"/>
          <w:lang w:val="en-US" w:eastAsia="zh-CN" w:bidi="ar"/>
        </w:rPr>
        <w:t>，我省认真组织开展2022年度中央对地方转移支付预算执行情况</w:t>
      </w:r>
      <w:r>
        <w:rPr>
          <w:rFonts w:hint="default" w:ascii="Times New Roman" w:hAnsi="Times New Roman" w:eastAsia="仿宋_GB2312" w:cs="Times New Roman"/>
          <w:b w:val="0"/>
          <w:bCs/>
          <w:i w:val="0"/>
          <w:caps w:val="0"/>
          <w:snapToGrid w:val="0"/>
          <w:color w:val="auto"/>
          <w:spacing w:val="0"/>
          <w:sz w:val="32"/>
          <w:szCs w:val="32"/>
          <w:highlight w:val="none"/>
        </w:rPr>
        <w:t>绩效</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自评</w:t>
      </w:r>
      <w:r>
        <w:rPr>
          <w:rFonts w:hint="default" w:ascii="Times New Roman" w:hAnsi="Times New Roman" w:eastAsia="仿宋_GB2312" w:cs="Times New Roman"/>
          <w:b w:val="0"/>
          <w:bCs/>
          <w:i w:val="0"/>
          <w:caps w:val="0"/>
          <w:snapToGrid w:val="0"/>
          <w:color w:val="auto"/>
          <w:spacing w:val="0"/>
          <w:sz w:val="32"/>
          <w:szCs w:val="32"/>
          <w:highlight w:val="none"/>
        </w:rPr>
        <w:t>工作</w:t>
      </w:r>
      <w:r>
        <w:rPr>
          <w:rFonts w:hint="default" w:ascii="Times New Roman" w:hAnsi="Times New Roman" w:eastAsia="仿宋_GB2312" w:cs="Times New Roman"/>
          <w:b w:val="0"/>
          <w:bCs/>
          <w:i w:val="0"/>
          <w:caps w:val="0"/>
          <w:snapToGrid w:val="0"/>
          <w:color w:val="auto"/>
          <w:spacing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现将有关情况报告如下：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黑体" w:cs="Times New Roman"/>
          <w:b w:val="0"/>
          <w:bCs w:val="0"/>
          <w:snapToGrid w:val="0"/>
          <w:color w:val="auto"/>
          <w:sz w:val="32"/>
          <w:szCs w:val="32"/>
          <w:highlight w:val="none"/>
        </w:rPr>
        <w:t>一、绩效目标分解下达情况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楷体_GB2312" w:hAnsi="楷体_GB2312" w:eastAsia="楷体_GB2312" w:cs="楷体_GB2312"/>
          <w:b w:val="0"/>
          <w:bCs w:val="0"/>
          <w:i w:val="0"/>
          <w:caps w:val="0"/>
          <w:snapToGrid w:val="0"/>
          <w:color w:val="auto"/>
          <w:spacing w:val="0"/>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（一）中央下达广东省</w:t>
      </w:r>
      <w:r>
        <w:rPr>
          <w:rFonts w:hint="eastAsia" w:ascii="楷体_GB2312" w:hAnsi="楷体_GB2312" w:eastAsia="楷体_GB2312" w:cs="楷体_GB2312"/>
          <w:b w:val="0"/>
          <w:bCs w:val="0"/>
          <w:snapToGrid w:val="0"/>
          <w:color w:val="auto"/>
          <w:kern w:val="0"/>
          <w:sz w:val="32"/>
          <w:szCs w:val="32"/>
          <w:highlight w:val="none"/>
          <w:u w:val="none"/>
          <w:lang w:val="en-US" w:eastAsia="zh-CN" w:bidi="ar"/>
        </w:rPr>
        <w:t>计划生育</w:t>
      </w:r>
      <w:r>
        <w:rPr>
          <w:rFonts w:hint="eastAsia" w:ascii="楷体_GB2312" w:hAnsi="楷体_GB2312" w:eastAsia="楷体_GB2312" w:cs="楷体_GB2312"/>
          <w:b w:val="0"/>
          <w:bCs w:val="0"/>
          <w:snapToGrid w:val="0"/>
          <w:color w:val="auto"/>
          <w:kern w:val="0"/>
          <w:sz w:val="32"/>
          <w:szCs w:val="32"/>
          <w:highlight w:val="none"/>
          <w:lang w:val="en-US" w:eastAsia="zh-CN" w:bidi="ar"/>
        </w:rPr>
        <w:t>项目转移支付预算和区域绩效目标情况。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中央转移支付预算情况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2022年度中央共下达广东省计划生育服务项目转移支付预算10</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snapToGrid w:val="0"/>
          <w:color w:val="auto"/>
          <w:sz w:val="32"/>
          <w:highlight w:val="none"/>
        </w:rPr>
        <w:t>312</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万元（不含</w:t>
      </w:r>
      <w:r>
        <w:rPr>
          <w:rFonts w:hint="default" w:ascii="Times New Roman" w:hAnsi="Times New Roman" w:eastAsia="仿宋_GB2312" w:cs="Times New Roman"/>
          <w:snapToGrid w:val="0"/>
          <w:color w:val="auto"/>
          <w:sz w:val="32"/>
          <w:highlight w:val="none"/>
          <w:lang w:eastAsia="zh-CN"/>
        </w:rPr>
        <w:t>中央下达</w:t>
      </w:r>
      <w:r>
        <w:rPr>
          <w:rFonts w:hint="default" w:ascii="Times New Roman" w:hAnsi="Times New Roman" w:eastAsia="仿宋_GB2312" w:cs="Times New Roman"/>
          <w:snapToGrid w:val="0"/>
          <w:color w:val="auto"/>
          <w:sz w:val="32"/>
          <w:highlight w:val="none"/>
        </w:rPr>
        <w:t>深圳市，</w:t>
      </w:r>
      <w:r>
        <w:rPr>
          <w:rFonts w:hint="default" w:ascii="Times New Roman" w:hAnsi="Times New Roman" w:eastAsia="仿宋_GB2312" w:cs="Times New Roman"/>
          <w:snapToGrid w:val="0"/>
          <w:color w:val="auto"/>
          <w:sz w:val="32"/>
          <w:highlight w:val="none"/>
          <w:lang w:eastAsia="zh-CN"/>
        </w:rPr>
        <w:t>下同</w:t>
      </w:r>
      <w:r>
        <w:rPr>
          <w:rFonts w:hint="default" w:ascii="Times New Roman" w:hAnsi="Times New Roman" w:eastAsia="仿宋_GB2312" w:cs="Times New Roman"/>
          <w:snapToGrid w:val="0"/>
          <w:color w:val="auto"/>
          <w:sz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2021年10月29日，</w:t>
      </w: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国家卫生健康委关于提前下达2022年计划生育转移支付资金预算的通知》</w:t>
      </w:r>
      <w:r>
        <w:rPr>
          <w:rFonts w:hint="default" w:ascii="Times New Roman" w:hAnsi="Times New Roman" w:eastAsia="仿宋_GB2312" w:cs="Times New Roman"/>
          <w:snapToGrid w:val="0"/>
          <w:color w:val="auto"/>
          <w:sz w:val="32"/>
          <w:highlight w:val="none"/>
        </w:rPr>
        <w:t>（财社〔2021〕171号）</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中央提前下达</w:t>
      </w:r>
      <w:r>
        <w:rPr>
          <w:rFonts w:hint="default" w:ascii="Times New Roman" w:hAnsi="Times New Roman" w:eastAsia="仿宋_GB2312" w:cs="Times New Roman"/>
          <w:snapToGrid w:val="0"/>
          <w:color w:val="auto"/>
          <w:sz w:val="32"/>
          <w:highlight w:val="none"/>
          <w:lang w:eastAsia="zh-CN"/>
        </w:rPr>
        <w:t>我</w:t>
      </w:r>
      <w:r>
        <w:rPr>
          <w:rFonts w:hint="default" w:ascii="Times New Roman" w:hAnsi="Times New Roman" w:eastAsia="仿宋_GB2312" w:cs="Times New Roman"/>
          <w:snapToGrid w:val="0"/>
          <w:color w:val="auto"/>
          <w:sz w:val="32"/>
          <w:highlight w:val="none"/>
        </w:rPr>
        <w:t>省2022年度计划生育服务转移支付资金8</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snapToGrid w:val="0"/>
          <w:color w:val="auto"/>
          <w:sz w:val="32"/>
          <w:highlight w:val="none"/>
        </w:rPr>
        <w:t>511</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万元。其中，农村部分计划生育家庭奖励扶助制度补助资金4</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snapToGrid w:val="0"/>
          <w:color w:val="auto"/>
          <w:sz w:val="32"/>
          <w:highlight w:val="none"/>
        </w:rPr>
        <w:t>916</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万元，计划生育家庭特别扶助制度补助资金3</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snapToGrid w:val="0"/>
          <w:color w:val="auto"/>
          <w:sz w:val="32"/>
          <w:highlight w:val="none"/>
        </w:rPr>
        <w:t>595</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万元。补助资金</w:t>
      </w:r>
      <w:r>
        <w:rPr>
          <w:rFonts w:hint="default" w:ascii="Times New Roman" w:hAnsi="Times New Roman" w:eastAsia="仿宋_GB2312" w:cs="Times New Roman"/>
          <w:snapToGrid w:val="0"/>
          <w:color w:val="auto"/>
          <w:sz w:val="32"/>
          <w:highlight w:val="none"/>
          <w:lang w:eastAsia="zh-CN"/>
        </w:rPr>
        <w:t>按</w:t>
      </w:r>
      <w:r>
        <w:rPr>
          <w:rFonts w:hint="default" w:ascii="Times New Roman" w:hAnsi="Times New Roman" w:eastAsia="仿宋_GB2312" w:cs="Times New Roman"/>
          <w:snapToGrid w:val="0"/>
          <w:color w:val="auto"/>
          <w:sz w:val="32"/>
          <w:highlight w:val="none"/>
        </w:rPr>
        <w:t>2021年10月底我省实际发放</w:t>
      </w:r>
      <w:r>
        <w:rPr>
          <w:rFonts w:hint="eastAsia" w:ascii="Times New Roman" w:hAnsi="Times New Roman" w:cs="Times New Roman"/>
          <w:snapToGrid w:val="0"/>
          <w:color w:val="auto"/>
          <w:sz w:val="32"/>
          <w:highlight w:val="none"/>
          <w:lang w:val="en-US" w:eastAsia="zh-CN"/>
        </w:rPr>
        <w:t>人数</w:t>
      </w:r>
      <w:r>
        <w:rPr>
          <w:rFonts w:hint="default" w:ascii="Times New Roman" w:hAnsi="Times New Roman" w:eastAsia="仿宋_GB2312" w:cs="Times New Roman"/>
          <w:snapToGrid w:val="0"/>
          <w:color w:val="auto"/>
          <w:sz w:val="32"/>
          <w:highlight w:val="none"/>
        </w:rPr>
        <w:t>核定。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2022年5月19日，</w:t>
      </w: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国家卫生健康委关于下达2022年计划生育转移支付资金预算的通知》（财社〔2022〕61号）</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中央下达</w:t>
      </w:r>
      <w:r>
        <w:rPr>
          <w:rFonts w:hint="default" w:ascii="Times New Roman" w:hAnsi="Times New Roman" w:eastAsia="仿宋_GB2312" w:cs="Times New Roman"/>
          <w:snapToGrid w:val="0"/>
          <w:color w:val="auto"/>
          <w:sz w:val="32"/>
          <w:highlight w:val="none"/>
          <w:lang w:eastAsia="zh-CN"/>
        </w:rPr>
        <w:t>我省</w:t>
      </w:r>
      <w:r>
        <w:rPr>
          <w:rFonts w:hint="default" w:ascii="Times New Roman" w:hAnsi="Times New Roman" w:eastAsia="仿宋_GB2312" w:cs="Times New Roman"/>
          <w:snapToGrid w:val="0"/>
          <w:color w:val="auto"/>
          <w:sz w:val="32"/>
          <w:highlight w:val="none"/>
        </w:rPr>
        <w:t>第二批2022年计划生育服务转移支付资金1</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snapToGrid w:val="0"/>
          <w:color w:val="auto"/>
          <w:sz w:val="32"/>
          <w:highlight w:val="none"/>
        </w:rPr>
        <w:t>801</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万元。其中，农村部分计划生育家庭奖励扶助制度补助资金629</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万元，计划生育家庭特别扶助制度补助资金1,213</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万元，扣</w:t>
      </w:r>
      <w:r>
        <w:rPr>
          <w:rFonts w:hint="default" w:ascii="Times New Roman" w:hAnsi="Times New Roman" w:eastAsia="仿宋_GB2312" w:cs="Times New Roman"/>
          <w:snapToGrid w:val="0"/>
          <w:color w:val="auto"/>
          <w:sz w:val="32"/>
          <w:highlight w:val="none"/>
          <w:lang w:eastAsia="zh-CN"/>
        </w:rPr>
        <w:t>减</w:t>
      </w:r>
      <w:r>
        <w:rPr>
          <w:rFonts w:hint="default" w:ascii="Times New Roman" w:hAnsi="Times New Roman" w:eastAsia="仿宋_GB2312" w:cs="Times New Roman"/>
          <w:snapToGrid w:val="0"/>
          <w:color w:val="auto"/>
          <w:sz w:val="32"/>
          <w:highlight w:val="none"/>
        </w:rPr>
        <w:t>绩效考核补助资金41</w:t>
      </w:r>
      <w:r>
        <w:rPr>
          <w:rFonts w:hint="default" w:ascii="Times New Roman" w:hAnsi="Times New Roman" w:eastAsia="仿宋_GB2312" w:cs="Times New Roman"/>
          <w:snapToGrid w:val="0"/>
          <w:color w:val="auto"/>
          <w:sz w:val="32"/>
          <w:highlight w:val="none"/>
          <w:lang w:val="en-US" w:eastAsia="zh-CN"/>
        </w:rPr>
        <w:t>.00</w:t>
      </w:r>
      <w:r>
        <w:rPr>
          <w:rFonts w:hint="default" w:ascii="Times New Roman" w:hAnsi="Times New Roman" w:eastAsia="仿宋_GB2312" w:cs="Times New Roman"/>
          <w:snapToGrid w:val="0"/>
          <w:color w:val="auto"/>
          <w:sz w:val="32"/>
          <w:highlight w:val="none"/>
        </w:rPr>
        <w:t>万元。补助资金</w:t>
      </w:r>
      <w:r>
        <w:rPr>
          <w:rFonts w:hint="default" w:ascii="Times New Roman" w:hAnsi="Times New Roman" w:eastAsia="仿宋_GB2312" w:cs="Times New Roman"/>
          <w:snapToGrid w:val="0"/>
          <w:color w:val="auto"/>
          <w:sz w:val="32"/>
          <w:highlight w:val="none"/>
          <w:lang w:eastAsia="zh-CN"/>
        </w:rPr>
        <w:t>按</w:t>
      </w:r>
      <w:r>
        <w:rPr>
          <w:rFonts w:hint="default" w:ascii="Times New Roman" w:hAnsi="Times New Roman" w:eastAsia="仿宋_GB2312" w:cs="Times New Roman"/>
          <w:snapToGrid w:val="0"/>
          <w:color w:val="auto"/>
          <w:sz w:val="32"/>
          <w:highlight w:val="none"/>
        </w:rPr>
        <w:t>2022年6月底我省实际发放</w:t>
      </w:r>
      <w:r>
        <w:rPr>
          <w:rFonts w:hint="eastAsia" w:ascii="Times New Roman" w:hAnsi="Times New Roman" w:cs="Times New Roman"/>
          <w:snapToGrid w:val="0"/>
          <w:color w:val="auto"/>
          <w:sz w:val="32"/>
          <w:highlight w:val="none"/>
          <w:lang w:val="en-US" w:eastAsia="zh-CN"/>
        </w:rPr>
        <w:t>人数</w:t>
      </w:r>
      <w:r>
        <w:rPr>
          <w:rFonts w:hint="default" w:ascii="Times New Roman" w:hAnsi="Times New Roman" w:eastAsia="仿宋_GB2312" w:cs="Times New Roman"/>
          <w:snapToGrid w:val="0"/>
          <w:color w:val="auto"/>
          <w:sz w:val="32"/>
          <w:highlight w:val="none"/>
        </w:rPr>
        <w:t>，并按多退少补原则</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结</w:t>
      </w:r>
      <w:r>
        <w:rPr>
          <w:rFonts w:hint="default" w:ascii="Times New Roman" w:hAnsi="Times New Roman" w:eastAsia="仿宋_GB2312" w:cs="Times New Roman"/>
          <w:snapToGrid w:val="0"/>
          <w:color w:val="auto"/>
          <w:sz w:val="32"/>
          <w:highlight w:val="none"/>
          <w:lang w:eastAsia="zh-CN"/>
        </w:rPr>
        <w:t>合</w:t>
      </w:r>
      <w:r>
        <w:rPr>
          <w:rFonts w:hint="default" w:ascii="Times New Roman" w:hAnsi="Times New Roman" w:eastAsia="仿宋_GB2312" w:cs="Times New Roman"/>
          <w:snapToGrid w:val="0"/>
          <w:color w:val="auto"/>
          <w:sz w:val="32"/>
          <w:highlight w:val="none"/>
        </w:rPr>
        <w:t>提前下达2022年资金核定。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pPr>
      <w:r>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t>2</w:t>
      </w:r>
      <w:r>
        <w:rPr>
          <w:rFonts w:hint="default" w:ascii="仿宋_GB2312" w:hAnsi="仿宋_GB2312" w:eastAsia="仿宋_GB2312" w:cs="仿宋_GB2312"/>
          <w:b/>
          <w:bCs/>
          <w:snapToGrid w:val="0"/>
          <w:color w:val="auto"/>
          <w:kern w:val="0"/>
          <w:sz w:val="32"/>
          <w:szCs w:val="32"/>
          <w:highlight w:val="none"/>
          <w:lang w:val="en-US" w:eastAsia="zh-CN" w:bidi="ar"/>
        </w:rPr>
        <w:t>.中</w:t>
      </w:r>
      <w:r>
        <w:rPr>
          <w:rFonts w:hint="default" w:ascii="Times New Roman" w:hAnsi="Times New Roman" w:eastAsia="仿宋_GB2312" w:cs="Times New Roman"/>
          <w:b/>
          <w:bCs/>
          <w:snapToGrid w:val="0"/>
          <w:color w:val="auto"/>
          <w:kern w:val="0"/>
          <w:sz w:val="32"/>
          <w:szCs w:val="32"/>
          <w:highlight w:val="none"/>
          <w:lang w:val="en-US" w:eastAsia="zh-CN" w:bidi="ar"/>
        </w:rPr>
        <w:t>央</w:t>
      </w:r>
      <w:r>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t>区域绩效目标情况</w:t>
      </w:r>
      <w:r>
        <w:rPr>
          <w:rFonts w:hint="eastAsia" w:ascii="Times New Roman" w:hAnsi="Times New Roman" w:cs="Times New Roman"/>
          <w:b/>
          <w:bCs/>
          <w:i w:val="0"/>
          <w:caps w:val="0"/>
          <w:snapToGrid w:val="0"/>
          <w:color w:val="auto"/>
          <w:spacing w:val="0"/>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sz w:val="32"/>
          <w:highlight w:val="none"/>
        </w:rPr>
        <w:t>根据《国家卫生健康委办公厅关于做好2022年计划生育家庭“两项制度”对象资格确认和数据申报工作的通知》</w:t>
      </w:r>
      <w:r>
        <w:rPr>
          <w:rFonts w:hint="default" w:ascii="Times New Roman" w:hAnsi="Times New Roman" w:eastAsia="仿宋_GB2312" w:cs="Times New Roman"/>
          <w:snapToGrid w:val="0"/>
          <w:color w:val="auto"/>
          <w:sz w:val="32"/>
          <w:highlight w:val="none"/>
          <w:lang w:eastAsia="zh-CN"/>
        </w:rPr>
        <w:t>要求</w:t>
      </w:r>
      <w:r>
        <w:rPr>
          <w:rFonts w:hint="default" w:ascii="Times New Roman" w:hAnsi="Times New Roman" w:eastAsia="仿宋_GB2312" w:cs="Times New Roman"/>
          <w:snapToGrid w:val="0"/>
          <w:color w:val="auto"/>
          <w:sz w:val="32"/>
          <w:highlight w:val="none"/>
        </w:rPr>
        <w:t>，我</w:t>
      </w:r>
      <w:r>
        <w:rPr>
          <w:rFonts w:hint="default" w:ascii="Times New Roman" w:hAnsi="Times New Roman" w:eastAsia="仿宋_GB2312" w:cs="Times New Roman"/>
          <w:snapToGrid w:val="0"/>
          <w:color w:val="auto"/>
          <w:sz w:val="32"/>
          <w:highlight w:val="none"/>
          <w:lang w:val="en-US" w:eastAsia="zh-CN"/>
        </w:rPr>
        <w:t>省</w:t>
      </w:r>
      <w:r>
        <w:rPr>
          <w:rFonts w:hint="default" w:ascii="Times New Roman" w:hAnsi="Times New Roman" w:eastAsia="仿宋_GB2312" w:cs="Times New Roman"/>
          <w:snapToGrid w:val="0"/>
          <w:color w:val="auto"/>
          <w:sz w:val="32"/>
          <w:highlight w:val="none"/>
        </w:rPr>
        <w:t>认真组织开展2022年度广东省农村部分计划生育家庭奖励扶助制度和计划生育家庭特别扶助制度的目标人数资格确认工作，于2022年3月8日向国家卫生健康委报送《2022年广东省“两项制度”目标人数汇总表》</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根据《中央对地方专项转移支付区域绩效目标表》，中央下达了我省2022年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b w:val="0"/>
          <w:bCs w:val="0"/>
          <w:snapToGrid w:val="0"/>
          <w:color w:val="auto"/>
          <w:sz w:val="32"/>
          <w:szCs w:val="32"/>
          <w:highlight w:val="none"/>
          <w:lang w:val="en-US" w:eastAsia="zh-CN"/>
        </w:rPr>
        <w:t>计划生育转移支付</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和绩效指标。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（1）中央年度总体绩效目标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b w:val="0"/>
          <w:bCs w:val="0"/>
          <w:snapToGrid w:val="0"/>
          <w:color w:val="auto"/>
          <w:sz w:val="32"/>
          <w:szCs w:val="32"/>
          <w:highlight w:val="none"/>
          <w:lang w:val="en-US" w:eastAsia="zh-CN"/>
        </w:rPr>
        <w:t>计划生育转移支付</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项目年</w:t>
      </w:r>
      <w:r>
        <w:rPr>
          <w:rFonts w:hint="default" w:ascii="Times New Roman" w:hAnsi="Times New Roman" w:eastAsia="仿宋_GB2312" w:cs="Times New Roman"/>
          <w:b w:val="0"/>
          <w:bCs w:val="0"/>
          <w:snapToGrid w:val="0"/>
          <w:color w:val="auto"/>
          <w:sz w:val="32"/>
          <w:highlight w:val="none"/>
        </w:rPr>
        <w:t>总体绩效目标</w:t>
      </w:r>
      <w:r>
        <w:rPr>
          <w:rFonts w:hint="default" w:ascii="Times New Roman" w:hAnsi="Times New Roman" w:eastAsia="仿宋_GB2312" w:cs="Times New Roman"/>
          <w:b w:val="0"/>
          <w:bCs w:val="0"/>
          <w:snapToGrid w:val="0"/>
          <w:color w:val="auto"/>
          <w:sz w:val="32"/>
          <w:highlight w:val="none"/>
          <w:lang w:eastAsia="zh-CN"/>
        </w:rPr>
        <w:t>包括</w:t>
      </w:r>
      <w:r>
        <w:rPr>
          <w:rFonts w:hint="default" w:ascii="Times New Roman" w:hAnsi="Times New Roman" w:eastAsia="仿宋_GB2312" w:cs="Times New Roman"/>
          <w:snapToGrid w:val="0"/>
          <w:color w:val="auto"/>
          <w:sz w:val="32"/>
          <w:highlight w:val="none"/>
        </w:rPr>
        <w:t>：</w:t>
      </w:r>
      <w:r>
        <w:rPr>
          <w:rFonts w:hint="default" w:ascii="Times New Roman" w:hAnsi="Times New Roman" w:eastAsia="仿宋_GB2312" w:cs="Times New Roman"/>
          <w:snapToGrid w:val="0"/>
          <w:color w:val="auto"/>
          <w:sz w:val="32"/>
          <w:highlight w:val="none"/>
          <w:lang w:val="en-US" w:eastAsia="zh-CN"/>
        </w:rPr>
        <w:t>1.</w:t>
      </w:r>
      <w:r>
        <w:rPr>
          <w:rFonts w:hint="default" w:ascii="Times New Roman" w:hAnsi="Times New Roman" w:eastAsia="仿宋_GB2312" w:cs="Times New Roman"/>
          <w:snapToGrid w:val="0"/>
          <w:color w:val="auto"/>
          <w:sz w:val="32"/>
          <w:highlight w:val="none"/>
        </w:rPr>
        <w:t>实施农村计划生育家庭奖励扶助制度，缓解农村独生子女和双女家庭的养老问题，</w:t>
      </w:r>
      <w:r>
        <w:rPr>
          <w:rFonts w:hint="default" w:ascii="Times New Roman" w:hAnsi="Times New Roman" w:eastAsia="仿宋_GB2312" w:cs="Times New Roman"/>
          <w:snapToGrid w:val="0"/>
          <w:color w:val="auto"/>
          <w:sz w:val="32"/>
          <w:highlight w:val="none"/>
          <w:lang w:eastAsia="zh-CN"/>
        </w:rPr>
        <w:t>提高</w:t>
      </w:r>
      <w:r>
        <w:rPr>
          <w:rFonts w:hint="default" w:ascii="Times New Roman" w:hAnsi="Times New Roman" w:eastAsia="仿宋_GB2312" w:cs="Times New Roman"/>
          <w:snapToGrid w:val="0"/>
          <w:color w:val="auto"/>
          <w:sz w:val="32"/>
          <w:highlight w:val="none"/>
        </w:rPr>
        <w:t>家庭发展</w:t>
      </w:r>
      <w:r>
        <w:rPr>
          <w:rFonts w:hint="default" w:ascii="Times New Roman" w:hAnsi="Times New Roman" w:eastAsia="仿宋_GB2312" w:cs="Times New Roman"/>
          <w:snapToGrid w:val="0"/>
          <w:color w:val="auto"/>
          <w:sz w:val="32"/>
          <w:highlight w:val="none"/>
          <w:lang w:eastAsia="zh-CN"/>
        </w:rPr>
        <w:t>能力</w:t>
      </w:r>
      <w:r>
        <w:rPr>
          <w:rFonts w:hint="default" w:ascii="Times New Roman" w:hAnsi="Times New Roman" w:eastAsia="仿宋_GB2312" w:cs="Times New Roman"/>
          <w:snapToGrid w:val="0"/>
          <w:color w:val="auto"/>
          <w:sz w:val="32"/>
          <w:highlight w:val="none"/>
          <w:lang w:val="en-US" w:eastAsia="zh-CN"/>
        </w:rPr>
        <w:t>。2.</w:t>
      </w:r>
      <w:r>
        <w:rPr>
          <w:rFonts w:hint="default" w:ascii="Times New Roman" w:hAnsi="Times New Roman" w:eastAsia="仿宋_GB2312" w:cs="Times New Roman"/>
          <w:snapToGrid w:val="0"/>
          <w:color w:val="auto"/>
          <w:sz w:val="32"/>
          <w:highlight w:val="none"/>
        </w:rPr>
        <w:t>实施计划生育家庭特别扶助制度，缓解扶助对象在生产、生活、医疗和养老等方面的困难，</w:t>
      </w:r>
      <w:r>
        <w:rPr>
          <w:rFonts w:hint="default" w:ascii="Times New Roman" w:hAnsi="Times New Roman" w:eastAsia="仿宋_GB2312" w:cs="Times New Roman"/>
          <w:snapToGrid w:val="0"/>
          <w:color w:val="auto"/>
          <w:sz w:val="32"/>
          <w:highlight w:val="none"/>
          <w:lang w:eastAsia="zh-CN"/>
        </w:rPr>
        <w:t>保障和改善民生，促进社会和谐稳定</w:t>
      </w:r>
      <w:r>
        <w:rPr>
          <w:rFonts w:hint="default" w:ascii="Times New Roman" w:hAnsi="Times New Roman" w:eastAsia="仿宋_GB2312" w:cs="Times New Roman"/>
          <w:snapToGrid w:val="0"/>
          <w:color w:val="auto"/>
          <w:sz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54"/>
        <w:jc w:val="both"/>
        <w:textAlignment w:val="auto"/>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
        </w:rPr>
        <w:t>（2）中央绩效指标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val="0"/>
          <w:bCs/>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b w:val="0"/>
          <w:bCs/>
          <w:snapToGrid w:val="0"/>
          <w:color w:val="auto"/>
          <w:sz w:val="32"/>
          <w:szCs w:val="32"/>
          <w:highlight w:val="none"/>
          <w:u w:val="none"/>
          <w:lang w:val="en-US" w:eastAsia="zh-CN"/>
        </w:rPr>
        <w:t>计划生育</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snapToGrid w:val="0"/>
          <w:color w:val="auto"/>
          <w:kern w:val="0"/>
          <w:sz w:val="32"/>
          <w:szCs w:val="32"/>
          <w:highlight w:val="none"/>
          <w:lang w:val="en-US" w:eastAsia="zh-CN" w:bidi="ar"/>
        </w:rPr>
        <w:t>项目绩效指标包括</w:t>
      </w:r>
      <w:r>
        <w:rPr>
          <w:rFonts w:hint="default" w:ascii="Times New Roman" w:hAnsi="Times New Roman" w:eastAsia="仿宋_GB2312" w:cs="Times New Roman"/>
          <w:snapToGrid w:val="0"/>
          <w:color w:val="auto"/>
          <w:kern w:val="0"/>
          <w:sz w:val="32"/>
          <w:szCs w:val="32"/>
          <w:highlight w:val="none"/>
          <w:lang w:bidi="ar"/>
        </w:rPr>
        <w:t>扶助独生子女伤残家庭人数</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bidi="ar"/>
        </w:rPr>
        <w:t>符合条件申报对象覆盖率</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bidi="ar"/>
        </w:rPr>
        <w:t>奖励和扶助资金到位率</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等</w:t>
      </w:r>
      <w:r>
        <w:rPr>
          <w:rFonts w:hint="default" w:ascii="Times New Roman" w:hAnsi="Times New Roman" w:eastAsia="仿宋_GB2312" w:cs="Times New Roman"/>
          <w:snapToGrid w:val="0"/>
          <w:color w:val="auto"/>
          <w:sz w:val="32"/>
          <w:szCs w:val="32"/>
          <w:highlight w:val="none"/>
        </w:rPr>
        <w:t>12个，其中，</w:t>
      </w:r>
      <w:r>
        <w:rPr>
          <w:rFonts w:hint="default" w:ascii="Times New Roman" w:hAnsi="Times New Roman" w:eastAsia="仿宋_GB2312" w:cs="Times New Roman"/>
          <w:snapToGrid w:val="0"/>
          <w:color w:val="auto"/>
          <w:sz w:val="32"/>
          <w:szCs w:val="32"/>
          <w:highlight w:val="none"/>
          <w:lang w:val="en-US" w:eastAsia="zh-CN"/>
        </w:rPr>
        <w:t>产出指标10</w:t>
      </w:r>
      <w:r>
        <w:rPr>
          <w:rFonts w:hint="default" w:ascii="Times New Roman" w:hAnsi="Times New Roman" w:eastAsia="仿宋_GB2312" w:cs="Times New Roman"/>
          <w:snapToGrid w:val="0"/>
          <w:color w:val="auto"/>
          <w:sz w:val="32"/>
          <w:szCs w:val="32"/>
          <w:highlight w:val="none"/>
        </w:rPr>
        <w:t>个，效益指标2个（</w:t>
      </w:r>
      <w:r>
        <w:rPr>
          <w:rFonts w:hint="default" w:ascii="Times New Roman" w:hAnsi="Times New Roman" w:eastAsia="仿宋_GB2312" w:cs="Times New Roman"/>
          <w:snapToGrid w:val="0"/>
          <w:color w:val="auto"/>
          <w:sz w:val="32"/>
          <w:szCs w:val="32"/>
          <w:highlight w:val="none"/>
          <w:lang w:eastAsia="zh-CN"/>
        </w:rPr>
        <w:t>详</w:t>
      </w:r>
      <w:r>
        <w:rPr>
          <w:rFonts w:hint="default" w:ascii="Times New Roman" w:hAnsi="Times New Roman" w:eastAsia="仿宋_GB2312" w:cs="Times New Roman"/>
          <w:snapToGrid w:val="0"/>
          <w:color w:val="auto"/>
          <w:sz w:val="32"/>
          <w:szCs w:val="32"/>
          <w:highlight w:val="none"/>
        </w:rPr>
        <w:t>见</w:t>
      </w:r>
      <w:r>
        <w:rPr>
          <w:rFonts w:hint="default" w:ascii="Times New Roman" w:hAnsi="Times New Roman" w:eastAsia="仿宋_GB2312" w:cs="Times New Roman"/>
          <w:snapToGrid w:val="0"/>
          <w:color w:val="auto"/>
          <w:sz w:val="32"/>
          <w:szCs w:val="32"/>
          <w:highlight w:val="none"/>
          <w:lang w:eastAsia="zh-CN"/>
        </w:rPr>
        <w:t>附</w:t>
      </w:r>
      <w:r>
        <w:rPr>
          <w:rFonts w:hint="default" w:ascii="Times New Roman" w:hAnsi="Times New Roman" w:eastAsia="仿宋_GB2312" w:cs="Times New Roman"/>
          <w:snapToGrid w:val="0"/>
          <w:color w:val="auto"/>
          <w:sz w:val="32"/>
          <w:szCs w:val="32"/>
          <w:highlight w:val="none"/>
        </w:rPr>
        <w:t>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lang w:val="en-US" w:eastAsia="zh-CN" w:bidi="ar"/>
        </w:rPr>
      </w:pPr>
      <w:r>
        <w:rPr>
          <w:rFonts w:hint="default" w:ascii="楷体_GB2312" w:hAnsi="楷体_GB2312" w:eastAsia="楷体_GB2312" w:cs="楷体_GB2312"/>
          <w:b w:val="0"/>
          <w:bCs w:val="0"/>
          <w:snapToGrid w:val="0"/>
          <w:color w:val="auto"/>
          <w:kern w:val="0"/>
          <w:sz w:val="32"/>
          <w:szCs w:val="32"/>
          <w:highlight w:val="none"/>
          <w:lang w:val="en-US" w:eastAsia="zh-CN" w:bidi="ar"/>
        </w:rPr>
        <w:t>（二）省内资金安排、分解下达预算和绩效目标情况</w:t>
      </w:r>
      <w:r>
        <w:rPr>
          <w:rFonts w:hint="eastAsia" w:ascii="楷体_GB2312" w:hAnsi="楷体_GB2312" w:eastAsia="楷体_GB2312" w:cs="楷体_GB2312"/>
          <w:b w:val="0"/>
          <w:bCs w:val="0"/>
          <w:snapToGrid w:val="0"/>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default"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省内资金安排、分解下达预算情况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根据中央和省专项资金管理规定，收到中央补助资金通知后，</w:t>
      </w:r>
      <w:r>
        <w:rPr>
          <w:rFonts w:hint="default" w:ascii="Times New Roman" w:hAnsi="Times New Roman" w:eastAsia="仿宋_GB2312" w:cs="Times New Roman"/>
          <w:snapToGrid w:val="0"/>
          <w:color w:val="auto"/>
          <w:kern w:val="0"/>
          <w:sz w:val="32"/>
          <w:szCs w:val="32"/>
          <w:highlight w:val="none"/>
          <w:lang w:val="en-US" w:eastAsia="zh-CN" w:bidi="ar"/>
        </w:rPr>
        <w:t>省卫生健康委迅速组织</w:t>
      </w:r>
      <w:r>
        <w:rPr>
          <w:rFonts w:hint="default" w:ascii="Times New Roman" w:hAnsi="Times New Roman" w:eastAsia="仿宋_GB2312" w:cs="Times New Roman"/>
          <w:b w:val="0"/>
          <w:bCs w:val="0"/>
          <w:snapToGrid w:val="0"/>
          <w:color w:val="auto"/>
          <w:kern w:val="0"/>
          <w:sz w:val="32"/>
          <w:szCs w:val="32"/>
          <w:highlight w:val="none"/>
          <w:lang w:val="en-US" w:eastAsia="zh-CN" w:bidi="ar"/>
        </w:rPr>
        <w:t>同步编报专项</w:t>
      </w:r>
      <w:r>
        <w:rPr>
          <w:rFonts w:hint="default" w:ascii="Times New Roman" w:hAnsi="Times New Roman" w:eastAsia="仿宋_GB2312" w:cs="Times New Roman"/>
          <w:snapToGrid w:val="0"/>
          <w:color w:val="auto"/>
          <w:kern w:val="0"/>
          <w:sz w:val="32"/>
          <w:szCs w:val="32"/>
          <w:highlight w:val="none"/>
          <w:lang w:val="en-US" w:eastAsia="zh-CN" w:bidi="ar"/>
        </w:rPr>
        <w:t>资金绩效目标申报表和分配方案，并经委领导班子集体审议通过后报</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厅审批。2021年12月和2022年7月通过《广东省财政厅关于提前下达2022年中央财政计划生育转移支付资金的通知》（粤财社〔2021〕316号）、《广东省财政厅关于下达2022年中央财政计划生育转移支付第二批资金预算的通知》（粤财社〔2022〕145号），向20个地市分解下达中央补助资金</w:t>
      </w:r>
      <w:r>
        <w:rPr>
          <w:rFonts w:hint="default" w:ascii="Times New Roman" w:hAnsi="Times New Roman" w:eastAsia="仿宋_GB2312" w:cs="Times New Roman"/>
          <w:snapToGrid w:val="0"/>
          <w:color w:val="auto"/>
          <w:kern w:val="0"/>
          <w:sz w:val="32"/>
          <w:szCs w:val="32"/>
          <w:highlight w:val="none"/>
          <w:lang w:val="en-US" w:eastAsia="zh-CN" w:bidi="ar"/>
        </w:rPr>
        <w:t>10,312.00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kern w:val="0"/>
          <w:sz w:val="32"/>
          <w:szCs w:val="32"/>
          <w:highlight w:val="none"/>
          <w:lang w:val="en-US" w:eastAsia="zh-CN" w:bidi="ar"/>
        </w:rPr>
        <w:t>（见表1）。</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b w:val="0"/>
          <w:bCs w:val="0"/>
          <w:i w:val="0"/>
          <w:iCs w:val="0"/>
          <w:color w:val="auto"/>
          <w:kern w:val="0"/>
          <w:sz w:val="28"/>
          <w:szCs w:val="28"/>
          <w:highlight w:val="none"/>
          <w:u w:val="none"/>
          <w:lang w:val="en-US" w:eastAsia="zh-CN" w:bidi="ar"/>
        </w:rPr>
        <w:sectPr>
          <w:headerReference r:id="rId4" w:type="first"/>
          <w:footerReference r:id="rId6" w:type="first"/>
          <w:headerReference r:id="rId3" w:type="default"/>
          <w:footerReference r:id="rId5" w:type="default"/>
          <w:pgSz w:w="11905" w:h="16838"/>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44"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i w:val="0"/>
          <w:iCs w:val="0"/>
          <w:snapToGrid w:val="0"/>
          <w:color w:val="auto"/>
          <w:kern w:val="0"/>
          <w:sz w:val="28"/>
          <w:szCs w:val="28"/>
          <w:highlight w:val="none"/>
          <w:u w:val="none"/>
          <w:lang w:val="en-US" w:eastAsia="zh-CN" w:bidi="ar"/>
        </w:rPr>
      </w:pPr>
      <w:r>
        <w:rPr>
          <w:rFonts w:hint="default" w:ascii="Times New Roman" w:hAnsi="Times New Roman" w:eastAsia="宋体" w:cs="Times New Roman"/>
          <w:b/>
          <w:bCs/>
          <w:i w:val="0"/>
          <w:iCs w:val="0"/>
          <w:snapToGrid w:val="0"/>
          <w:color w:val="auto"/>
          <w:kern w:val="0"/>
          <w:sz w:val="28"/>
          <w:szCs w:val="28"/>
          <w:highlight w:val="none"/>
          <w:u w:val="none"/>
          <w:lang w:val="en-US" w:eastAsia="zh-CN" w:bidi="ar"/>
        </w:rPr>
        <w:t>表1  省内资金安排、分解下达预算情况</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单位：万元</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8"/>
        <w:gridCol w:w="1224"/>
        <w:gridCol w:w="1223"/>
        <w:gridCol w:w="1227"/>
        <w:gridCol w:w="1000"/>
        <w:gridCol w:w="1224"/>
        <w:gridCol w:w="1224"/>
        <w:gridCol w:w="1226"/>
        <w:gridCol w:w="1224"/>
        <w:gridCol w:w="1125"/>
        <w:gridCol w:w="125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jc w:val="center"/>
        </w:trPr>
        <w:tc>
          <w:tcPr>
            <w:tcW w:w="9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地区</w:t>
            </w:r>
          </w:p>
        </w:tc>
        <w:tc>
          <w:tcPr>
            <w:tcW w:w="36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2022年应补助资金</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绩效考核补助资金</w:t>
            </w:r>
          </w:p>
        </w:tc>
        <w:tc>
          <w:tcPr>
            <w:tcW w:w="3674"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粤财社〔2021〕316号提前下达资金</w:t>
            </w:r>
          </w:p>
        </w:tc>
        <w:tc>
          <w:tcPr>
            <w:tcW w:w="3605" w:type="dxa"/>
            <w:gridSpan w:val="3"/>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粤财社〔2022〕145号下达补助资金</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1"/>
                <w:szCs w:val="21"/>
                <w:highlight w:val="none"/>
                <w:u w:val="none"/>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本次实际下达补助资金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blHeader/>
          <w:jc w:val="center"/>
        </w:trPr>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小计</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农村部分计划生育家庭奖励扶助制度补助资金</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计划生育家庭特别扶助资金补助资金</w:t>
            </w: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小计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农村部分计划生育家庭奖励扶助制度补助资金</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计划生育家庭特别扶助资金补助资金</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小计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农村部分计划生育家庭奖励扶助制度补助资金</w:t>
            </w:r>
          </w:p>
        </w:tc>
        <w:tc>
          <w:tcPr>
            <w:tcW w:w="125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auto"/>
                <w:kern w:val="0"/>
                <w:sz w:val="21"/>
                <w:szCs w:val="21"/>
                <w:highlight w:val="none"/>
                <w:u w:val="none"/>
                <w:lang w:val="en-US" w:eastAsia="zh-CN" w:bidi="ar"/>
              </w:rPr>
            </w:pPr>
            <w:r>
              <w:rPr>
                <w:rFonts w:hint="default" w:ascii="Times New Roman" w:hAnsi="Times New Roman" w:eastAsia="黑体" w:cs="Times New Roman"/>
                <w:b w:val="0"/>
                <w:bCs w:val="0"/>
                <w:i w:val="0"/>
                <w:iCs w:val="0"/>
                <w:color w:val="auto"/>
                <w:kern w:val="0"/>
                <w:sz w:val="21"/>
                <w:szCs w:val="21"/>
                <w:highlight w:val="none"/>
                <w:u w:val="none"/>
                <w:lang w:val="en-US" w:eastAsia="zh-CN" w:bidi="ar"/>
              </w:rPr>
              <w:t>计划生育家庭特别扶助资金补助资金</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栏次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1栏=2栏+3栏</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2栏</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5栏=6栏+7栏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6栏</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8栏=9栏+10栏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9栏=2栏-6栏</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10栏=3栏-7栏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11栏=8栏+4栏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10353.00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5545.00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4808.00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-41.00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8511.00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4916.00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3595.00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1842.00</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629.00</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1213.00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1801.00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地级市</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8,705.86</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4,323.76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4,382.10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-32.64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7,094.97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3,819.58</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3,275.39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1,610.89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504.18</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1,106.71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1,578.25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2,237.89</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397.93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1,839.96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1,718.96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347.34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1,371.62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518.93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50.59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468.34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15"/>
                <w:szCs w:val="15"/>
                <w:highlight w:val="none"/>
                <w:u w:val="none"/>
                <w:lang w:val="en-US" w:eastAsia="zh-CN" w:bidi="ar"/>
              </w:rPr>
              <w:t>深圳市（深汕特别合作区）</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珠海市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183.92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147.40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32.25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110.85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40.82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汕头市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475.18</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282.03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193.15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402.22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260.35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141.87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72.96</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21.68</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佛山市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1,139.52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704.60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434.92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948.65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622.26</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326.39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190.87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82.34</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108.53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韶关市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392.32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105.80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286.52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303.10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92.62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210.48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89.22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13.18</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76.04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河源市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83.40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57.40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51.04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11.82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梅州市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365.49</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284.77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80.72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307.22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246.75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60.47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58.27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38.02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20.25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惠州市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175.00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69.06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105.94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138.19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60.37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77.82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36.81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8.69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28.12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汕尾市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15.09</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13.30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241.75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140.40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101.35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194.98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120.84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46.77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19.56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27.21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中山市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387.41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242.67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144.74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317.34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211.10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106.24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70.07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31.57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江门市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1,310.48</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890.20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420.28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1,084.55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770.97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313.58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225.93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119.23</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106.70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阳江市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92.95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56.36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76.42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48.51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27.91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16.53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7.85</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8.68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湛江市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190.24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55.27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134.97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156.25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50.73</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105.52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33.99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4.54</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茂名市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142.47</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91.24</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83.76</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22.19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7.48</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14.71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肇庆市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255.72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128.49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127.23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-0.96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213.69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115.32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98.37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28.86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清远市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264.00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151.42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112.58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222.95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136.34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86.61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41.05</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15.08</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潮州市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418.92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332.85</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86.07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365.55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297.59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67.96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53.37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35.26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18.11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揭阳市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234.98</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219.49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15.49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215.48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204.34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19.50</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15.15</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云浮市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97.81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62.64</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35.17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79.78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53.89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25.89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18.03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8.75</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9.28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财政省直管县</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1,647.14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1,221.24</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425.90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-8.36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1,416.03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1,096.42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319.61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231.11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124.82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106.29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南澳县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16.01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11.95</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10.91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1.04</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南雄市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69.67</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35.42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34.25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54.13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29.43</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15.54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仁化县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34.25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17.63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16.62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15.54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12.74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乳源县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29.61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12.42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24.75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14.92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4.86</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翁源县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51.80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34.44</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17.36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44.88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30.57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紫金县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29.14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24.11</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22.95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0.88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龙川县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65.54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56.28</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9.26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58.85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51.09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连平县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38.15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24.42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13.73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兴宁市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69.01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50.83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18.18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60.43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46.57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8.58</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五华县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27.29</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20.92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丰顺县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52.88</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36.49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16.39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33.22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大埔县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59.05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49.88</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9.17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50.19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43.01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8.86</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6.87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博罗县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60.14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36.78</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23.36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31.08</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11.90</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5.70</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陆河县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25.61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22.58</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21.85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1.25</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0.73</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陆丰市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24.40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24.11</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19.96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19.60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4.44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4.51</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海丰县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20.25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18.55</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18.46</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阳春市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52.80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26.47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26.33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22.98</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徐闻县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25.46</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16.62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8.84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20.45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14.10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廉江市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50.87</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38.91</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36.39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雷州市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46.36</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31.54</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29.32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2.22</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82.40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65.52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16.88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72.57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60.26</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12.31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9.83</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化州市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45.35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37.61</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7.74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35.87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1.74</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封开县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45.72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30.90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14.82</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38.48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28.40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2.50</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4.74</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怀集县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40.06</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32.83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36.94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31.40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德庆县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39.42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28.97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10.45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24.74</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7.94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4.23</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广宁县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43.53</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31.36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12.17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28.27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英德市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67.01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33.96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33.05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53.25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28.75</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13.76</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5.21</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连山县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9.45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4.32</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7.99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3.73</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1.46</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0.87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连南县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14.70</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8.47</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11.71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7.91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2.99</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饶平县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201.52</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178.93</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22.59</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153.87</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17.81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29.84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25.06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4.78</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普宁市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30.85</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29.35</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29.08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28.31</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1.77</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1.04</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0.73</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揭西县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35.43</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33.00</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32.73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31.19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2.70</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1.81</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0.89</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惠来县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30.21</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29.46</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28.80</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0.66</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罗定市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67.76</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47.38</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20.38</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55.62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40.69</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14.93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12.14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6.69</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新兴县</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45.44</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33.29</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12.15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38.90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29.72</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6.54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3.57</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2.97</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6.31</w:t>
            </w:r>
          </w:p>
        </w:tc>
      </w:tr>
    </w:tbl>
    <w:p>
      <w:pPr>
        <w:keepNext w:val="0"/>
        <w:keepLines w:val="0"/>
        <w:pageBreakBefore w:val="0"/>
        <w:tabs>
          <w:tab w:val="center" w:pos="4153"/>
          <w:tab w:val="right" w:pos="8306"/>
        </w:tabs>
        <w:kinsoku/>
        <w:wordWrap/>
        <w:overflowPunct/>
        <w:topLinePunct w:val="0"/>
        <w:autoSpaceDE/>
        <w:autoSpaceDN/>
        <w:bidi w:val="0"/>
        <w:adjustRightInd/>
        <w:spacing w:line="300" w:lineRule="exact"/>
        <w:rPr>
          <w:rFonts w:hint="default" w:ascii="Times New Roman" w:hAnsi="Times New Roman" w:eastAsia="仿宋_GB2312" w:cs="Times New Roman"/>
          <w:color w:val="auto"/>
          <w:sz w:val="32"/>
          <w:szCs w:val="32"/>
          <w:highlight w:val="none"/>
        </w:rPr>
        <w:sectPr>
          <w:type w:val="continuous"/>
          <w:pgSz w:w="16838" w:h="11905" w:orient="landscape"/>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65" w:charSpace="0"/>
        </w:sect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此外，我省安排安排</w:t>
      </w:r>
      <w:r>
        <w:rPr>
          <w:rFonts w:hint="default" w:ascii="Times New Roman" w:hAnsi="Times New Roman" w:eastAsia="仿宋_GB2312" w:cs="Times New Roman"/>
          <w:snapToGrid w:val="0"/>
          <w:color w:val="auto"/>
          <w:kern w:val="0"/>
          <w:sz w:val="32"/>
          <w:szCs w:val="32"/>
          <w:highlight w:val="none"/>
          <w:lang w:val="en-US" w:eastAsia="zh-CN" w:bidi="ar"/>
        </w:rPr>
        <w:t>计划生育</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项目配套资金合计86,573.08万元，其中，省级财政安排</w:t>
      </w:r>
      <w:r>
        <w:rPr>
          <w:rFonts w:hint="default" w:ascii="Times New Roman" w:hAnsi="Times New Roman" w:eastAsia="仿宋_GB2312" w:cs="Times New Roman"/>
          <w:snapToGrid w:val="0"/>
          <w:color w:val="auto"/>
          <w:kern w:val="0"/>
          <w:sz w:val="32"/>
          <w:szCs w:val="32"/>
          <w:highlight w:val="none"/>
          <w:lang w:val="en-US" w:eastAsia="zh-CN" w:bidi="ar"/>
        </w:rPr>
        <w:t>31,857.36</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万元（粤财社〔2021〕246号）</w:t>
      </w:r>
      <w:r>
        <w:rPr>
          <w:rFonts w:hint="default" w:ascii="Times New Roman" w:hAnsi="Times New Roman" w:eastAsia="仿宋_GB2312" w:cs="Times New Roman"/>
          <w:snapToGrid w:val="0"/>
          <w:color w:val="auto"/>
          <w:kern w:val="0"/>
          <w:sz w:val="32"/>
          <w:szCs w:val="32"/>
          <w:highlight w:val="none"/>
          <w:lang w:val="en-US" w:eastAsia="zh-CN" w:bidi="ar"/>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市级财政资金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11,467.03万元、县级财政资金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38,648.87万元、</w:t>
      </w:r>
      <w:r>
        <w:rPr>
          <w:rFonts w:hint="default" w:ascii="Times New Roman" w:hAnsi="Times New Roman" w:eastAsia="仿宋_GB2312" w:cs="Times New Roman"/>
          <w:snapToGrid w:val="0"/>
          <w:color w:val="auto"/>
          <w:kern w:val="0"/>
          <w:sz w:val="32"/>
          <w:szCs w:val="32"/>
          <w:highlight w:val="none"/>
          <w:u w:val="none"/>
          <w:lang w:val="en-US" w:eastAsia="zh-CN" w:bidi="ar"/>
        </w:rPr>
        <w:t>其他资金（自筹）</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4,599.82万元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（见表2）</w:t>
      </w:r>
      <w:r>
        <w:rPr>
          <w:rFonts w:hint="default" w:ascii="Times New Roman" w:hAnsi="Times New Roman" w:eastAsia="仿宋_GB2312" w:cs="Times New Roman"/>
          <w:snapToGrid w:val="0"/>
          <w:color w:val="auto"/>
          <w:kern w:val="0"/>
          <w:sz w:val="32"/>
          <w:szCs w:val="32"/>
          <w:highlight w:val="none"/>
          <w:lang w:val="en-US" w:eastAsia="zh-CN" w:bidi="ar"/>
        </w:rPr>
        <w:t>。截止2022年12月31日，中央补助资金、地方财政补助经费和其他资金（自筹）合计</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96,885.08</w:t>
      </w:r>
      <w:r>
        <w:rPr>
          <w:rFonts w:hint="default" w:ascii="Times New Roman" w:hAnsi="Times New Roman" w:eastAsia="仿宋_GB2312" w:cs="Times New Roman"/>
          <w:snapToGrid w:val="0"/>
          <w:color w:val="auto"/>
          <w:kern w:val="0"/>
          <w:sz w:val="32"/>
          <w:szCs w:val="32"/>
          <w:highlight w:val="none"/>
          <w:lang w:val="en-US" w:eastAsia="zh-CN" w:bidi="ar"/>
        </w:rPr>
        <w:t>万元全部拨付至各地各单位，资金拨付率100%</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宋体" w:cs="Times New Roman"/>
          <w:b/>
          <w:bCs/>
          <w:snapToGrid w:val="0"/>
          <w:color w:val="auto"/>
          <w:kern w:val="2"/>
          <w:sz w:val="28"/>
          <w:szCs w:val="28"/>
          <w:highlight w:val="none"/>
          <w:lang w:val="en-US" w:eastAsia="zh-CN" w:bidi="ar-SA"/>
        </w:rPr>
      </w:pPr>
      <w:r>
        <w:rPr>
          <w:rFonts w:hint="default" w:ascii="Times New Roman" w:hAnsi="Times New Roman" w:eastAsia="宋体" w:cs="Times New Roman"/>
          <w:b/>
          <w:bCs/>
          <w:snapToGrid w:val="0"/>
          <w:color w:val="auto"/>
          <w:kern w:val="2"/>
          <w:sz w:val="28"/>
          <w:szCs w:val="28"/>
          <w:highlight w:val="none"/>
          <w:lang w:val="en-US" w:eastAsia="zh-CN" w:bidi="ar-SA"/>
        </w:rPr>
        <w:t>表2</w:t>
      </w:r>
      <w:r>
        <w:rPr>
          <w:rFonts w:hint="eastAsia" w:ascii="Times New Roman" w:hAnsi="Times New Roman" w:eastAsia="宋体" w:cs="Times New Roman"/>
          <w:b/>
          <w:bCs/>
          <w:snapToGrid w:val="0"/>
          <w:color w:val="auto"/>
          <w:kern w:val="2"/>
          <w:sz w:val="28"/>
          <w:szCs w:val="28"/>
          <w:highlight w:val="none"/>
          <w:lang w:val="en-US" w:eastAsia="zh-CN" w:bidi="ar-SA"/>
        </w:rPr>
        <w:t xml:space="preserve"> </w:t>
      </w:r>
      <w:r>
        <w:rPr>
          <w:rFonts w:hint="default" w:ascii="Times New Roman" w:hAnsi="Times New Roman" w:eastAsia="宋体" w:cs="Times New Roman"/>
          <w:b/>
          <w:bCs/>
          <w:snapToGrid w:val="0"/>
          <w:color w:val="auto"/>
          <w:kern w:val="2"/>
          <w:sz w:val="28"/>
          <w:szCs w:val="28"/>
          <w:highlight w:val="none"/>
          <w:lang w:val="en-US" w:eastAsia="zh-CN" w:bidi="ar-SA"/>
        </w:rPr>
        <w:t xml:space="preserve"> 2022年广东省计划生育项目资金投入情况</w:t>
      </w:r>
    </w:p>
    <w:p>
      <w:pPr>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金额单位：万元</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4233"/>
        <w:gridCol w:w="3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val="0"/>
                <w:i w:val="0"/>
                <w:iCs w:val="0"/>
                <w:color w:val="auto"/>
                <w:sz w:val="24"/>
                <w:szCs w:val="24"/>
                <w:highlight w:val="none"/>
                <w:u w:val="none"/>
                <w:lang w:val="en-US" w:eastAsia="zh-CN"/>
              </w:rPr>
            </w:pPr>
            <w:r>
              <w:rPr>
                <w:rFonts w:hint="default" w:ascii="Times New Roman" w:hAnsi="Times New Roman" w:eastAsia="黑体" w:cs="Times New Roman"/>
                <w:b w:val="0"/>
                <w:bCs w:val="0"/>
                <w:i w:val="0"/>
                <w:iCs w:val="0"/>
                <w:color w:val="auto"/>
                <w:sz w:val="24"/>
                <w:szCs w:val="24"/>
                <w:highlight w:val="none"/>
                <w:u w:val="none"/>
                <w:lang w:val="en-US" w:eastAsia="zh-CN"/>
              </w:rPr>
              <w:t>序号</w:t>
            </w:r>
          </w:p>
        </w:tc>
        <w:tc>
          <w:tcPr>
            <w:tcW w:w="42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val="0"/>
                <w:i w:val="0"/>
                <w:iCs w:val="0"/>
                <w:color w:val="auto"/>
                <w:sz w:val="24"/>
                <w:szCs w:val="24"/>
                <w:highlight w:val="none"/>
                <w:u w:val="none"/>
                <w:lang w:val="en-US" w:eastAsia="zh-CN"/>
              </w:rPr>
            </w:pPr>
            <w:r>
              <w:rPr>
                <w:rFonts w:hint="default" w:ascii="Times New Roman" w:hAnsi="Times New Roman" w:eastAsia="黑体" w:cs="Times New Roman"/>
                <w:b w:val="0"/>
                <w:bCs w:val="0"/>
                <w:i w:val="0"/>
                <w:iCs w:val="0"/>
                <w:color w:val="auto"/>
                <w:sz w:val="24"/>
                <w:szCs w:val="24"/>
                <w:highlight w:val="none"/>
                <w:u w:val="none"/>
                <w:lang w:val="en-US" w:eastAsia="zh-CN"/>
              </w:rPr>
              <w:t>资金类别</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全年预算数（A）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19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合   计</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96,885.08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u w:val="none"/>
                <w:lang w:val="en-US" w:eastAsia="zh-CN" w:bidi="ar"/>
              </w:rPr>
              <w:t>中央财政资金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10,312.00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bidi="ar"/>
              </w:rPr>
              <w:t>2</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u w:val="none"/>
                <w:lang w:val="en-US" w:eastAsia="zh-CN" w:bidi="ar"/>
              </w:rPr>
              <w:t>省级财政资金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31,857.36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市级财政资金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11,467.03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县级财政资金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38,648.87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u w:val="none"/>
                <w:lang w:val="en-US" w:eastAsia="zh-CN" w:bidi="ar"/>
              </w:rPr>
              <w:t>其他资金（自筹）</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4,599.82</w:t>
            </w:r>
          </w:p>
        </w:tc>
      </w:tr>
    </w:tbl>
    <w:p>
      <w:pPr>
        <w:pageBreakBefore w:val="0"/>
        <w:widowControl/>
        <w:kinsoku/>
        <w:wordWrap/>
        <w:overflowPunct/>
        <w:topLinePunct w:val="0"/>
        <w:autoSpaceDE/>
        <w:autoSpaceDN/>
        <w:bidi w:val="0"/>
        <w:spacing w:before="100" w:beforeAutospacing="0" w:after="100" w:afterAutospacing="0" w:line="300" w:lineRule="exact"/>
        <w:ind w:left="0" w:right="0" w:firstLine="420" w:firstLineChars="200"/>
        <w:jc w:val="left"/>
        <w:textAlignment w:val="auto"/>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楷体" w:cs="Times New Roman"/>
          <w:b w:val="0"/>
          <w:bCs w:val="0"/>
          <w:i w:val="0"/>
          <w:iCs w:val="0"/>
          <w:caps w:val="0"/>
          <w:color w:val="auto"/>
          <w:spacing w:val="0"/>
          <w:kern w:val="0"/>
          <w:sz w:val="21"/>
          <w:szCs w:val="21"/>
          <w:highlight w:val="none"/>
          <w:shd w:val="clear" w:color="auto" w:fill="FFFFFF"/>
          <w:lang w:val="en-US" w:eastAsia="zh-CN" w:bidi="ar"/>
        </w:rPr>
        <w:t>注：《財政部 国家卫生健康委关于下达2022年计划生育转移支付资金预算的通知》（财社〔2022〕61号）绩效调整资金广东为-42万元〈其中深圳为-1万元)。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snapToGrid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snapToGrid w:val="0"/>
          <w:color w:val="auto"/>
          <w:spacing w:val="0"/>
          <w:kern w:val="0"/>
          <w:sz w:val="32"/>
          <w:szCs w:val="32"/>
          <w:highlight w:val="none"/>
          <w:shd w:val="clear" w:color="auto" w:fill="FFFFFF"/>
          <w:lang w:val="en-US" w:eastAsia="zh-CN" w:bidi="ar"/>
        </w:rPr>
        <w:t>2</w:t>
      </w:r>
      <w:r>
        <w:rPr>
          <w:rFonts w:hint="eastAsia" w:ascii="仿宋_GB2312" w:hAnsi="仿宋_GB2312" w:eastAsia="仿宋_GB2312" w:cs="仿宋_GB2312"/>
          <w:b/>
          <w:bCs/>
          <w:i w:val="0"/>
          <w:iCs w:val="0"/>
          <w:caps w:val="0"/>
          <w:snapToGrid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snapToGrid w:val="0"/>
          <w:color w:val="auto"/>
          <w:spacing w:val="0"/>
          <w:kern w:val="0"/>
          <w:sz w:val="32"/>
          <w:szCs w:val="32"/>
          <w:highlight w:val="none"/>
          <w:shd w:val="clear" w:color="auto" w:fill="FFFFFF"/>
          <w:lang w:val="en-US" w:eastAsia="zh-CN" w:bidi="ar"/>
        </w:rPr>
        <w:t>省内</w:t>
      </w:r>
      <w:r>
        <w:rPr>
          <w:rFonts w:hint="default" w:ascii="Times New Roman" w:hAnsi="Times New Roman" w:eastAsia="仿宋_GB2312" w:cs="Times New Roman"/>
          <w:b/>
          <w:bCs/>
          <w:snapToGrid w:val="0"/>
          <w:color w:val="auto"/>
          <w:kern w:val="0"/>
          <w:sz w:val="32"/>
          <w:szCs w:val="32"/>
          <w:highlight w:val="none"/>
          <w:lang w:val="en-US" w:eastAsia="zh-CN" w:bidi="ar"/>
        </w:rPr>
        <w:t>绩效目标情况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参照《2022年度中央对地方专项转移支付区域绩效目标表》，</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结合全省工作实际情况，我省认真研究制订</w:t>
      </w:r>
      <w:r>
        <w:rPr>
          <w:rFonts w:hint="default" w:ascii="Times New Roman" w:hAnsi="Times New Roman" w:eastAsia="仿宋_GB2312" w:cs="Times New Roman"/>
          <w:snapToGrid w:val="0"/>
          <w:color w:val="auto"/>
          <w:spacing w:val="0"/>
          <w:kern w:val="0"/>
          <w:sz w:val="32"/>
          <w:szCs w:val="32"/>
          <w:highlight w:val="none"/>
          <w:lang w:val="en-US" w:eastAsia="zh-CN" w:bidi="ar"/>
        </w:rPr>
        <w:t>了2022年度项目绩效指标及完成值</w:t>
      </w:r>
      <w:r>
        <w:rPr>
          <w:rFonts w:hint="default" w:ascii="Times New Roman" w:hAnsi="Times New Roman" w:eastAsia="仿宋_GB2312" w:cs="Times New Roman"/>
          <w:b w:val="0"/>
          <w:bCs w:val="0"/>
          <w:snapToGrid w:val="0"/>
          <w:color w:val="auto"/>
          <w:kern w:val="0"/>
          <w:sz w:val="32"/>
          <w:szCs w:val="32"/>
          <w:highlight w:val="none"/>
          <w:lang w:val="en-US" w:eastAsia="zh-CN" w:bidi="ar"/>
        </w:rPr>
        <w:t>。并在向</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各地各单位</w:t>
      </w:r>
      <w:r>
        <w:rPr>
          <w:rFonts w:hint="default" w:ascii="Times New Roman" w:hAnsi="Times New Roman" w:eastAsia="仿宋_GB2312" w:cs="Times New Roman"/>
          <w:b w:val="0"/>
          <w:bCs w:val="0"/>
          <w:snapToGrid w:val="0"/>
          <w:color w:val="auto"/>
          <w:kern w:val="0"/>
          <w:sz w:val="32"/>
          <w:szCs w:val="32"/>
          <w:highlight w:val="none"/>
          <w:lang w:val="en-US" w:eastAsia="zh-CN" w:bidi="ar"/>
        </w:rPr>
        <w:t>下达转移支付预算时，同步下达</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2022年度中央对地方转移支付总体绩效目标和绩效指标(见附2)</w:t>
      </w:r>
      <w:r>
        <w:rPr>
          <w:rFonts w:hint="default" w:ascii="Times New Roman" w:hAnsi="Times New Roman" w:eastAsia="仿宋_GB2312" w:cs="Times New Roman"/>
          <w:b w:val="0"/>
          <w:bCs w:val="0"/>
          <w:snapToGrid w:val="0"/>
          <w:color w:val="auto"/>
          <w:kern w:val="0"/>
          <w:sz w:val="32"/>
          <w:szCs w:val="32"/>
          <w:highlight w:val="none"/>
          <w:lang w:val="en-US" w:eastAsia="zh-CN" w:bidi="ar"/>
        </w:rPr>
        <w:t>。省内年度绩效总体目标与中央保持一致；三级绩效指标中有3项的指标值高于中央，其余与中央一致。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二、绩效目标完成情况分析</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（一）资金投入情况分析。</w:t>
      </w:r>
    </w:p>
    <w:p>
      <w:pPr>
        <w:keepNext w:val="0"/>
        <w:keepLines w:val="0"/>
        <w:pageBreakBefore w:val="0"/>
        <w:kinsoku/>
        <w:wordWrap/>
        <w:overflowPunct/>
        <w:topLinePunct w:val="0"/>
        <w:autoSpaceDE/>
        <w:autoSpaceDN/>
        <w:bidi w:val="0"/>
        <w:adjustRightInd/>
        <w:snapToGrid/>
        <w:spacing w:line="560" w:lineRule="exact"/>
        <w:ind w:firstLine="654"/>
        <w:jc w:val="both"/>
        <w:textAlignment w:val="auto"/>
        <w:outlineLvl w:val="0"/>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1</w:t>
      </w:r>
      <w:r>
        <w:rPr>
          <w:rFonts w:hint="eastAsia" w:ascii="仿宋_GB2312" w:hAnsi="仿宋_GB2312" w:eastAsia="仿宋_GB2312" w:cs="仿宋_GB2312"/>
          <w:b/>
          <w:bCs/>
          <w:i w:val="0"/>
          <w:caps w:val="0"/>
          <w:snapToGrid w:val="0"/>
          <w:color w:val="auto"/>
          <w:spacing w:val="0"/>
          <w:sz w:val="32"/>
          <w:szCs w:val="32"/>
          <w:highlight w:val="none"/>
          <w:lang w:val="en-US" w:eastAsia="zh-CN"/>
        </w:rPr>
        <w:t>.</w:t>
      </w:r>
      <w:r>
        <w:rPr>
          <w:rFonts w:hint="default" w:ascii="Times New Roman" w:hAnsi="Times New Roman" w:eastAsia="仿宋_GB2312" w:cs="Times New Roman"/>
          <w:b/>
          <w:bCs/>
          <w:i w:val="0"/>
          <w:caps w:val="0"/>
          <w:snapToGrid w:val="0"/>
          <w:color w:val="auto"/>
          <w:spacing w:val="0"/>
          <w:sz w:val="32"/>
          <w:szCs w:val="32"/>
          <w:highlight w:val="none"/>
          <w:lang w:val="en-US" w:eastAsia="zh-CN"/>
        </w:rPr>
        <w:t>资金投入情况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宋体" w:cs="Times New Roman"/>
          <w:snapToGrid w:val="0"/>
          <w:color w:val="auto"/>
          <w:sz w:val="24"/>
          <w:szCs w:val="24"/>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2022年，各级财政投入我省计划生育专项资金合计</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96,885.07万元，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其中，中央财政资金</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10,312.00万元、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省级财政安排</w:t>
      </w:r>
      <w:r>
        <w:rPr>
          <w:rFonts w:hint="default" w:ascii="Times New Roman" w:hAnsi="Times New Roman" w:eastAsia="仿宋_GB2312" w:cs="Times New Roman"/>
          <w:snapToGrid w:val="0"/>
          <w:color w:val="auto"/>
          <w:sz w:val="32"/>
          <w:szCs w:val="32"/>
          <w:highlight w:val="none"/>
        </w:rPr>
        <w:t>31</w:t>
      </w:r>
      <w:r>
        <w:rPr>
          <w:rFonts w:hint="default"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rPr>
        <w:t>857.36</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市级财政资金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11,467.03万元、县级财政资金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38,648.87万元、</w:t>
      </w:r>
      <w:r>
        <w:rPr>
          <w:rFonts w:hint="default" w:ascii="Times New Roman" w:hAnsi="Times New Roman" w:eastAsia="仿宋_GB2312" w:cs="Times New Roman"/>
          <w:snapToGrid w:val="0"/>
          <w:color w:val="auto"/>
          <w:sz w:val="32"/>
          <w:szCs w:val="32"/>
          <w:highlight w:val="none"/>
          <w:u w:val="none"/>
          <w:lang w:val="en-US" w:eastAsia="zh-CN" w:bidi="ar"/>
        </w:rPr>
        <w:t>其他资金（自筹）</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4,599.82万元。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截止2022年12月31日，投入我省的计划生育补</w:t>
      </w:r>
      <w:r>
        <w:rPr>
          <w:rFonts w:hint="default" w:ascii="Times New Roman" w:hAnsi="Times New Roman" w:eastAsia="仿宋_GB2312" w:cs="Times New Roman"/>
          <w:b w:val="0"/>
          <w:bCs w:val="0"/>
          <w:snapToGrid w:val="0"/>
          <w:color w:val="auto"/>
          <w:sz w:val="32"/>
          <w:szCs w:val="32"/>
          <w:highlight w:val="none"/>
          <w:u w:val="none"/>
          <w:lang w:val="en-US" w:eastAsia="zh-CN"/>
        </w:rPr>
        <w:t>助</w:t>
      </w:r>
      <w:r>
        <w:rPr>
          <w:rFonts w:hint="default" w:ascii="Times New Roman" w:hAnsi="Times New Roman" w:eastAsia="仿宋_GB2312" w:cs="Times New Roman"/>
          <w:snapToGrid w:val="0"/>
          <w:color w:val="auto"/>
          <w:kern w:val="0"/>
          <w:sz w:val="32"/>
          <w:szCs w:val="32"/>
          <w:highlight w:val="none"/>
        </w:rPr>
        <w:t>资金</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96,885.07</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已经足额拨付各地各单位</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资金拨付率100%</w:t>
      </w:r>
      <w:r>
        <w:rPr>
          <w:rFonts w:hint="default" w:ascii="Times New Roman" w:hAnsi="Times New Roman" w:eastAsia="宋体" w:cs="Times New Roman"/>
          <w:snapToGrid w:val="0"/>
          <w:color w:val="auto"/>
          <w:sz w:val="24"/>
          <w:szCs w:val="24"/>
          <w:highlight w:val="none"/>
          <w:lang w:val="en-US" w:eastAsia="zh-CN"/>
        </w:rPr>
        <w:t>。</w:t>
      </w:r>
      <w:r>
        <w:rPr>
          <w:rFonts w:hint="eastAsia" w:ascii="Times New Roman" w:hAnsi="Times New Roman" w:eastAsia="宋体" w:cs="Times New Roman"/>
          <w:snapToGrid w:val="0"/>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default" w:ascii="仿宋_GB2312" w:hAnsi="仿宋_GB2312" w:eastAsia="仿宋_GB2312" w:cs="仿宋_GB2312"/>
          <w:b/>
          <w:bCs/>
          <w:i w:val="0"/>
          <w:caps w:val="0"/>
          <w:snapToGrid w:val="0"/>
          <w:color w:val="auto"/>
          <w:spacing w:val="0"/>
          <w:sz w:val="32"/>
          <w:szCs w:val="32"/>
          <w:highlight w:val="none"/>
          <w:lang w:val="en-US" w:eastAsia="zh-CN"/>
        </w:rPr>
        <w:t>.资金</w:t>
      </w:r>
      <w:r>
        <w:rPr>
          <w:rFonts w:hint="default" w:ascii="Times New Roman" w:hAnsi="Times New Roman" w:eastAsia="仿宋_GB2312" w:cs="Times New Roman"/>
          <w:b/>
          <w:bCs/>
          <w:i w:val="0"/>
          <w:caps w:val="0"/>
          <w:snapToGrid w:val="0"/>
          <w:color w:val="auto"/>
          <w:spacing w:val="0"/>
          <w:sz w:val="32"/>
          <w:szCs w:val="32"/>
          <w:highlight w:val="none"/>
          <w:lang w:val="en-US" w:eastAsia="zh-CN"/>
        </w:rPr>
        <w:t>执行情况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宋体" w:cs="Times New Roman"/>
          <w:b/>
          <w:bCs/>
          <w:snapToGrid w:val="0"/>
          <w:color w:val="auto"/>
          <w:sz w:val="28"/>
          <w:szCs w:val="28"/>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snapToGrid w:val="0"/>
          <w:color w:val="auto"/>
          <w:kern w:val="0"/>
          <w:sz w:val="32"/>
          <w:szCs w:val="32"/>
          <w:highlight w:val="none"/>
          <w:lang w:val="en-US" w:eastAsia="zh-CN"/>
        </w:rPr>
        <w:t>我省</w:t>
      </w:r>
      <w:r>
        <w:rPr>
          <w:rFonts w:hint="default" w:ascii="Times New Roman" w:hAnsi="Times New Roman" w:eastAsia="仿宋_GB2312" w:cs="Times New Roman"/>
          <w:b w:val="0"/>
          <w:bCs w:val="0"/>
          <w:snapToGrid w:val="0"/>
          <w:color w:val="auto"/>
          <w:sz w:val="32"/>
          <w:szCs w:val="32"/>
          <w:highlight w:val="none"/>
          <w:lang w:val="en-US" w:eastAsia="zh-CN"/>
        </w:rPr>
        <w:t>2022年度中央</w:t>
      </w:r>
      <w:r>
        <w:rPr>
          <w:rFonts w:hint="default" w:ascii="Times New Roman" w:hAnsi="Times New Roman" w:eastAsia="仿宋_GB2312" w:cs="Times New Roman"/>
          <w:snapToGrid w:val="0"/>
          <w:color w:val="auto"/>
          <w:kern w:val="0"/>
          <w:sz w:val="32"/>
          <w:szCs w:val="32"/>
          <w:highlight w:val="none"/>
          <w:lang w:val="en-US" w:eastAsia="zh-CN"/>
        </w:rPr>
        <w:t>计划生育专项资金实际支出合计</w:t>
      </w:r>
      <w:r>
        <w:rPr>
          <w:rFonts w:hint="default" w:ascii="Times New Roman" w:hAnsi="Times New Roman" w:eastAsia="仿宋_GB2312" w:cs="Times New Roman"/>
          <w:snapToGrid w:val="0"/>
          <w:color w:val="auto"/>
          <w:kern w:val="0"/>
          <w:sz w:val="32"/>
          <w:szCs w:val="32"/>
          <w:highlight w:val="none"/>
        </w:rPr>
        <w:t>91</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rPr>
        <w:t>979.51</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万元，预算执行率94.94%，</w:t>
      </w:r>
      <w:r>
        <w:rPr>
          <w:rFonts w:hint="default" w:ascii="Times New Roman" w:hAnsi="Times New Roman" w:eastAsia="仿宋_GB2312" w:cs="Times New Roman"/>
          <w:b w:val="0"/>
          <w:bCs w:val="0"/>
          <w:snapToGrid w:val="0"/>
          <w:color w:val="auto"/>
          <w:sz w:val="32"/>
          <w:szCs w:val="32"/>
          <w:highlight w:val="none"/>
          <w:lang w:val="en-US" w:eastAsia="zh-CN"/>
        </w:rPr>
        <w:t>其中，中央财政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资金</w:t>
      </w:r>
      <w:r>
        <w:rPr>
          <w:rFonts w:hint="default" w:ascii="Times New Roman" w:hAnsi="Times New Roman" w:eastAsia="仿宋_GB2312" w:cs="Times New Roman"/>
          <w:snapToGrid w:val="0"/>
          <w:color w:val="auto"/>
          <w:kern w:val="0"/>
          <w:sz w:val="32"/>
          <w:szCs w:val="32"/>
          <w:highlight w:val="none"/>
          <w:lang w:val="en-US" w:eastAsia="zh-CN"/>
        </w:rPr>
        <w:t>预算执行率</w:t>
      </w:r>
      <w:r>
        <w:rPr>
          <w:rFonts w:hint="default" w:ascii="Times New Roman" w:hAnsi="Times New Roman" w:eastAsia="仿宋_GB2312" w:cs="Times New Roman"/>
          <w:snapToGrid w:val="0"/>
          <w:color w:val="auto"/>
          <w:kern w:val="0"/>
          <w:sz w:val="32"/>
          <w:szCs w:val="32"/>
          <w:highlight w:val="none"/>
          <w:lang w:bidi="ar"/>
        </w:rPr>
        <w:t>98.0</w:t>
      </w:r>
      <w:r>
        <w:rPr>
          <w:rFonts w:hint="default" w:ascii="Times New Roman" w:hAnsi="Times New Roman" w:eastAsia="仿宋_GB2312" w:cs="Times New Roman"/>
          <w:snapToGrid w:val="0"/>
          <w:color w:val="auto"/>
          <w:kern w:val="0"/>
          <w:sz w:val="32"/>
          <w:szCs w:val="32"/>
          <w:highlight w:val="none"/>
          <w:lang w:val="en-US" w:eastAsia="zh-CN" w:bidi="ar"/>
        </w:rPr>
        <w:t>8</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省级财政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资金</w:t>
      </w:r>
      <w:r>
        <w:rPr>
          <w:rFonts w:hint="default" w:ascii="Times New Roman" w:hAnsi="Times New Roman" w:eastAsia="仿宋_GB2312" w:cs="Times New Roman"/>
          <w:snapToGrid w:val="0"/>
          <w:color w:val="auto"/>
          <w:kern w:val="0"/>
          <w:sz w:val="32"/>
          <w:szCs w:val="32"/>
          <w:highlight w:val="none"/>
          <w:lang w:val="en-US" w:eastAsia="zh-CN"/>
        </w:rPr>
        <w:t>预算执行率</w:t>
      </w:r>
      <w:r>
        <w:rPr>
          <w:rFonts w:hint="default" w:ascii="Times New Roman" w:hAnsi="Times New Roman" w:eastAsia="仿宋_GB2312" w:cs="Times New Roman"/>
          <w:snapToGrid w:val="0"/>
          <w:color w:val="auto"/>
          <w:kern w:val="0"/>
          <w:sz w:val="32"/>
          <w:szCs w:val="32"/>
          <w:highlight w:val="none"/>
          <w:lang w:val="en-US" w:eastAsia="zh-CN" w:bidi="ar"/>
        </w:rPr>
        <w:t>86.76</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市级财政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资金</w:t>
      </w:r>
      <w:r>
        <w:rPr>
          <w:rFonts w:hint="default" w:ascii="Times New Roman" w:hAnsi="Times New Roman" w:eastAsia="仿宋_GB2312" w:cs="Times New Roman"/>
          <w:snapToGrid w:val="0"/>
          <w:color w:val="auto"/>
          <w:kern w:val="0"/>
          <w:sz w:val="32"/>
          <w:szCs w:val="32"/>
          <w:highlight w:val="none"/>
          <w:lang w:val="en-US" w:eastAsia="zh-CN"/>
        </w:rPr>
        <w:t>预算执行率</w:t>
      </w:r>
      <w:r>
        <w:rPr>
          <w:rFonts w:hint="default" w:ascii="Times New Roman" w:hAnsi="Times New Roman" w:eastAsia="仿宋_GB2312" w:cs="Times New Roman"/>
          <w:snapToGrid w:val="0"/>
          <w:color w:val="auto"/>
          <w:kern w:val="0"/>
          <w:sz w:val="32"/>
          <w:szCs w:val="32"/>
          <w:highlight w:val="none"/>
          <w:lang w:val="en-US" w:eastAsia="zh-CN" w:bidi="ar"/>
        </w:rPr>
        <w:t>99.57</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县区级财政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资金</w:t>
      </w:r>
      <w:r>
        <w:rPr>
          <w:rFonts w:hint="default" w:ascii="Times New Roman" w:hAnsi="Times New Roman" w:eastAsia="仿宋_GB2312" w:cs="Times New Roman"/>
          <w:snapToGrid w:val="0"/>
          <w:color w:val="auto"/>
          <w:kern w:val="0"/>
          <w:sz w:val="32"/>
          <w:szCs w:val="32"/>
          <w:highlight w:val="none"/>
          <w:lang w:val="en-US" w:eastAsia="zh-CN"/>
        </w:rPr>
        <w:t>预算执行率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98.86% </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其他</w:t>
      </w:r>
      <w:r>
        <w:rPr>
          <w:rFonts w:hint="default" w:ascii="Times New Roman" w:hAnsi="Times New Roman" w:eastAsia="仿宋_GB2312" w:cs="Times New Roman"/>
          <w:b w:val="0"/>
          <w:bCs w:val="0"/>
          <w:snapToGrid w:val="0"/>
          <w:color w:val="auto"/>
          <w:kern w:val="0"/>
          <w:sz w:val="32"/>
          <w:szCs w:val="32"/>
          <w:highlight w:val="none"/>
          <w:lang w:val="en-US" w:eastAsia="zh-CN" w:bidi="ar"/>
        </w:rPr>
        <w:t>资金</w:t>
      </w:r>
      <w:r>
        <w:rPr>
          <w:rFonts w:hint="default" w:ascii="Times New Roman" w:hAnsi="Times New Roman" w:eastAsia="仿宋_GB2312" w:cs="Times New Roman"/>
          <w:snapToGrid w:val="0"/>
          <w:color w:val="auto"/>
          <w:kern w:val="0"/>
          <w:sz w:val="32"/>
          <w:szCs w:val="32"/>
          <w:highlight w:val="none"/>
          <w:lang w:val="en-US" w:eastAsia="zh-CN"/>
        </w:rPr>
        <w:t>预算执行率</w:t>
      </w:r>
      <w:r>
        <w:rPr>
          <w:rFonts w:hint="default" w:ascii="Times New Roman" w:hAnsi="Times New Roman" w:eastAsia="仿宋_GB2312" w:cs="Times New Roman"/>
          <w:snapToGrid w:val="0"/>
          <w:color w:val="auto"/>
          <w:kern w:val="0"/>
          <w:sz w:val="32"/>
          <w:szCs w:val="32"/>
          <w:highlight w:val="none"/>
          <w:lang w:val="en-US" w:eastAsia="zh-CN" w:bidi="ar"/>
        </w:rPr>
        <w:t>100</w:t>
      </w:r>
      <w:r>
        <w:rPr>
          <w:rFonts w:hint="default" w:ascii="Times New Roman" w:hAnsi="Times New Roman" w:eastAsia="仿宋_GB2312" w:cs="Times New Roman"/>
          <w:snapToGrid w:val="0"/>
          <w:color w:val="auto"/>
          <w:kern w:val="0"/>
          <w:sz w:val="32"/>
          <w:szCs w:val="32"/>
          <w:highlight w:val="none"/>
          <w:lang w:val="en-US" w:eastAsia="zh-CN"/>
        </w:rPr>
        <w:t>%</w:t>
      </w:r>
      <w:r>
        <w:rPr>
          <w:rFonts w:hint="eastAsia"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见图1</w:t>
      </w:r>
      <w:r>
        <w:rPr>
          <w:rFonts w:hint="eastAsia"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i w:val="0"/>
          <w:caps w:val="0"/>
          <w:color w:val="auto"/>
          <w:spacing w:val="0"/>
          <w:sz w:val="32"/>
          <w:szCs w:val="32"/>
          <w:highlight w:val="none"/>
          <w:lang w:val="en-US" w:eastAsia="zh-CN"/>
        </w:rPr>
      </w:pPr>
      <w:r>
        <w:rPr>
          <w:rFonts w:hint="default" w:ascii="Times New Roman" w:hAnsi="Times New Roman" w:eastAsia="仿宋_GB2312" w:cs="Times New Roman"/>
          <w:color w:val="auto"/>
          <w:sz w:val="32"/>
          <w:highlight w:val="none"/>
        </w:rPr>
        <w:drawing>
          <wp:inline distT="0" distB="0" distL="114300" distR="114300">
            <wp:extent cx="5486400" cy="2781300"/>
            <wp:effectExtent l="4445" t="4445" r="14605" b="527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 xml:space="preserve">图1 </w:t>
      </w:r>
      <w:r>
        <w:rPr>
          <w:rFonts w:hint="eastAsia" w:ascii="Times New Roman" w:hAnsi="Times New Roman" w:eastAsia="宋体"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2022年广东省计划生育项目资金投入及执行情况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i w:val="0"/>
          <w:caps w:val="0"/>
          <w:snapToGrid w:val="0"/>
          <w:color w:val="auto"/>
          <w:spacing w:val="0"/>
          <w:kern w:val="0"/>
          <w:sz w:val="32"/>
          <w:szCs w:val="32"/>
          <w:highlight w:val="none"/>
          <w:lang w:val="en-US" w:eastAsia="zh-CN" w:bidi="ar"/>
        </w:rPr>
        <w:t>（二）</w:t>
      </w:r>
      <w:r>
        <w:rPr>
          <w:rFonts w:hint="eastAsia" w:ascii="楷体_GB2312" w:hAnsi="楷体_GB2312" w:eastAsia="楷体_GB2312" w:cs="楷体_GB2312"/>
          <w:b w:val="0"/>
          <w:bCs w:val="0"/>
          <w:snapToGrid w:val="0"/>
          <w:color w:val="auto"/>
          <w:kern w:val="0"/>
          <w:sz w:val="32"/>
          <w:szCs w:val="32"/>
          <w:highlight w:val="none"/>
          <w:lang w:val="en-US" w:eastAsia="zh-CN" w:bidi="ar"/>
        </w:rPr>
        <w:t>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9"/>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eastAsia" w:ascii="仿宋_GB2312" w:hAnsi="仿宋_GB2312" w:eastAsia="仿宋_GB2312" w:cs="仿宋_GB2312"/>
          <w:b/>
          <w:bCs/>
          <w:snapToGrid w:val="0"/>
          <w:color w:val="auto"/>
          <w:sz w:val="32"/>
          <w:szCs w:val="32"/>
          <w:highlight w:val="none"/>
          <w:lang w:val="en-US" w:eastAsia="zh-CN"/>
        </w:rPr>
        <w:t>.分</w:t>
      </w:r>
      <w:r>
        <w:rPr>
          <w:rFonts w:hint="default" w:ascii="Times New Roman" w:hAnsi="Times New Roman" w:eastAsia="仿宋_GB2312" w:cs="Times New Roman"/>
          <w:b/>
          <w:bCs/>
          <w:snapToGrid w:val="0"/>
          <w:color w:val="auto"/>
          <w:sz w:val="32"/>
          <w:szCs w:val="32"/>
          <w:highlight w:val="none"/>
          <w:lang w:val="en-US" w:eastAsia="zh-CN"/>
        </w:rPr>
        <w:t>配科学性。</w:t>
      </w:r>
      <w:r>
        <w:rPr>
          <w:rFonts w:hint="default" w:ascii="Times New Roman" w:hAnsi="Times New Roman" w:eastAsia="仿宋_GB2312" w:cs="Times New Roman"/>
          <w:b/>
          <w:bCs/>
          <w:snapToGrid w:val="0"/>
          <w:color w:val="auto"/>
          <w:kern w:val="0"/>
          <w:sz w:val="32"/>
          <w:szCs w:val="32"/>
          <w:highlight w:val="none"/>
          <w:lang w:val="en-US" w:eastAsia="zh-CN"/>
        </w:rPr>
        <w:t>一是</w:t>
      </w:r>
      <w:r>
        <w:rPr>
          <w:rFonts w:hint="default" w:ascii="Times New Roman" w:hAnsi="Times New Roman" w:eastAsia="仿宋_GB2312" w:cs="Times New Roman"/>
          <w:b w:val="0"/>
          <w:bCs w:val="0"/>
          <w:snapToGrid w:val="0"/>
          <w:color w:val="auto"/>
          <w:kern w:val="0"/>
          <w:sz w:val="32"/>
          <w:szCs w:val="32"/>
          <w:highlight w:val="none"/>
          <w:lang w:val="en-US" w:eastAsia="zh-CN"/>
        </w:rPr>
        <w:t>采用因素法分配中央转移支付资金</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分配时主要考虑</w:t>
      </w:r>
      <w:r>
        <w:rPr>
          <w:rFonts w:hint="default" w:ascii="Times New Roman" w:hAnsi="Times New Roman" w:eastAsia="仿宋_GB2312" w:cs="Times New Roman"/>
          <w:snapToGrid w:val="0"/>
          <w:color w:val="auto"/>
          <w:sz w:val="32"/>
          <w:szCs w:val="32"/>
          <w:highlight w:val="none"/>
        </w:rPr>
        <w:t>按照</w:t>
      </w:r>
      <w:r>
        <w:rPr>
          <w:rFonts w:hint="default" w:ascii="Times New Roman" w:hAnsi="Times New Roman" w:eastAsia="仿宋_GB2312" w:cs="Times New Roman"/>
          <w:snapToGrid w:val="0"/>
          <w:color w:val="auto"/>
          <w:sz w:val="32"/>
          <w:szCs w:val="32"/>
          <w:highlight w:val="none"/>
          <w:lang w:eastAsia="zh-CN"/>
        </w:rPr>
        <w:t>各地</w:t>
      </w:r>
      <w:r>
        <w:rPr>
          <w:rFonts w:hint="default" w:ascii="Times New Roman" w:hAnsi="Times New Roman" w:eastAsia="仿宋_GB2312" w:cs="Times New Roman"/>
          <w:snapToGrid w:val="0"/>
          <w:color w:val="auto"/>
          <w:sz w:val="32"/>
          <w:szCs w:val="32"/>
          <w:highlight w:val="none"/>
        </w:rPr>
        <w:t>目标人数、补助</w:t>
      </w:r>
      <w:r>
        <w:rPr>
          <w:rFonts w:hint="default" w:ascii="Times New Roman" w:hAnsi="Times New Roman" w:eastAsia="仿宋_GB2312" w:cs="Times New Roman"/>
          <w:snapToGrid w:val="0"/>
          <w:color w:val="auto"/>
          <w:sz w:val="32"/>
          <w:szCs w:val="32"/>
          <w:highlight w:val="none"/>
          <w:lang w:eastAsia="zh-CN"/>
        </w:rPr>
        <w:t>标准、补助比例和绩效考核结果</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等因素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shd w:val="clear" w:color="auto" w:fill="FFFFFF"/>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认真做好补助资金统筹安排工作，严格按照转移支付管理制度以及资金管理办法规定的范围和标准分配资金，做到及时分解尽快下达。</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省财政厅在收到中央补助资金文件后按规定列入年初预算管理；省卫生健康委</w:t>
      </w:r>
      <w:r>
        <w:rPr>
          <w:rFonts w:hint="default" w:ascii="Times New Roman" w:hAnsi="Times New Roman" w:eastAsia="仿宋_GB2312" w:cs="Times New Roman"/>
          <w:b w:val="0"/>
          <w:bCs w:val="0"/>
          <w:snapToGrid w:val="0"/>
          <w:color w:val="auto"/>
          <w:kern w:val="0"/>
          <w:sz w:val="32"/>
          <w:szCs w:val="32"/>
          <w:highlight w:val="none"/>
          <w:lang w:val="en-US" w:eastAsia="zh-CN"/>
        </w:rPr>
        <w:t>结合资金</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分配要素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在认真组织开展资金测算基础上，</w:t>
      </w:r>
      <w:r>
        <w:rPr>
          <w:rFonts w:hint="default" w:ascii="Times New Roman" w:hAnsi="Times New Roman" w:eastAsia="仿宋_GB2312" w:cs="Times New Roman"/>
          <w:b w:val="0"/>
          <w:bCs w:val="0"/>
          <w:snapToGrid w:val="0"/>
          <w:color w:val="auto"/>
          <w:sz w:val="32"/>
          <w:szCs w:val="32"/>
          <w:highlight w:val="none"/>
          <w:lang w:val="en-US" w:eastAsia="zh-CN"/>
        </w:rPr>
        <w:t>拟定中央资金分配方案并经委领导班子集体审议通过后报省财政，同时，根据国家要求制定项目实施方案；省财政审核通过后上报财政部。</w:t>
      </w:r>
      <w:r>
        <w:rPr>
          <w:rFonts w:hint="default" w:ascii="Times New Roman" w:hAnsi="Times New Roman" w:eastAsia="仿宋_GB2312" w:cs="Times New Roman"/>
          <w:snapToGrid w:val="0"/>
          <w:color w:val="auto"/>
          <w:sz w:val="32"/>
          <w:szCs w:val="32"/>
          <w:highlight w:val="none"/>
          <w:lang w:eastAsia="zh-CN"/>
        </w:rPr>
        <w:t>有关资金分配方案</w:t>
      </w:r>
      <w:r>
        <w:rPr>
          <w:rFonts w:hint="default" w:ascii="Times New Roman" w:hAnsi="Times New Roman" w:eastAsia="仿宋_GB2312" w:cs="Times New Roman"/>
          <w:snapToGrid w:val="0"/>
          <w:color w:val="auto"/>
          <w:sz w:val="32"/>
          <w:szCs w:val="32"/>
          <w:highlight w:val="none"/>
          <w:lang w:val="en-US" w:eastAsia="zh-CN"/>
        </w:rPr>
        <w:t>经财政部</w:t>
      </w:r>
      <w:r>
        <w:rPr>
          <w:rFonts w:hint="default" w:ascii="Times New Roman" w:hAnsi="Times New Roman" w:eastAsia="仿宋_GB2312" w:cs="Times New Roman"/>
          <w:snapToGrid w:val="0"/>
          <w:color w:val="auto"/>
          <w:sz w:val="32"/>
          <w:szCs w:val="32"/>
          <w:highlight w:val="none"/>
          <w:lang w:eastAsia="zh-CN"/>
        </w:rPr>
        <w:t>审核同意后再</w:t>
      </w:r>
      <w:r>
        <w:rPr>
          <w:rFonts w:hint="default" w:ascii="Times New Roman" w:hAnsi="Times New Roman" w:eastAsia="仿宋_GB2312" w:cs="Times New Roman"/>
          <w:snapToGrid w:val="0"/>
          <w:color w:val="auto"/>
          <w:sz w:val="32"/>
          <w:szCs w:val="32"/>
          <w:highlight w:val="none"/>
          <w:lang w:val="en-US" w:eastAsia="zh-CN"/>
        </w:rPr>
        <w:t>行</w:t>
      </w:r>
      <w:r>
        <w:rPr>
          <w:rFonts w:hint="default" w:ascii="Times New Roman" w:hAnsi="Times New Roman" w:eastAsia="仿宋_GB2312" w:cs="Times New Roman"/>
          <w:snapToGrid w:val="0"/>
          <w:color w:val="auto"/>
          <w:sz w:val="32"/>
          <w:szCs w:val="32"/>
          <w:highlight w:val="none"/>
          <w:lang w:eastAsia="zh-CN"/>
        </w:rPr>
        <w:t>下达到市县。</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snapToGrid w:val="0"/>
          <w:color w:val="auto"/>
          <w:sz w:val="32"/>
          <w:szCs w:val="32"/>
          <w:highlight w:val="none"/>
          <w:lang w:eastAsia="zh-CN"/>
        </w:rPr>
        <w:t>讲求绩效，量效挂钩。建立绩效评价结果与资金分配挂钩机制，提高转移支付资金使用效益。</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综上，我省对中央转移支付分配严格遵循相关法律法规确定的决策程序，坚持集体决策，按规定程序审批。同时，</w:t>
      </w:r>
      <w:r>
        <w:rPr>
          <w:rFonts w:hint="default" w:ascii="Times New Roman" w:hAnsi="Times New Roman" w:eastAsia="仿宋" w:cs="Times New Roman"/>
          <w:i w:val="0"/>
          <w:iCs w:val="0"/>
          <w:snapToGrid w:val="0"/>
          <w:color w:val="auto"/>
          <w:kern w:val="0"/>
          <w:sz w:val="32"/>
          <w:szCs w:val="32"/>
          <w:highlight w:val="none"/>
          <w:u w:val="none"/>
          <w:lang w:val="en-US" w:eastAsia="zh-CN" w:bidi="ar"/>
        </w:rPr>
        <w:t>坚持因素分配、科学测算、</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兼顾公平、讲求绩效以及公开透明（分配方案在部门网站公开，接受社会监督）等原则，确保了中央转移支付资金分配的科学、规范、合理。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2</w:t>
      </w:r>
      <w:r>
        <w:rPr>
          <w:rFonts w:hint="default" w:ascii="仿宋_GB2312" w:hAnsi="仿宋_GB2312" w:eastAsia="仿宋_GB2312" w:cs="仿宋_GB2312"/>
          <w:b/>
          <w:bCs/>
          <w:snapToGrid w:val="0"/>
          <w:color w:val="auto"/>
          <w:sz w:val="32"/>
          <w:szCs w:val="32"/>
          <w:highlight w:val="none"/>
          <w:lang w:val="en-US" w:eastAsia="zh-CN"/>
        </w:rPr>
        <w:t>.下</w:t>
      </w:r>
      <w:r>
        <w:rPr>
          <w:rFonts w:hint="default" w:ascii="Times New Roman" w:hAnsi="Times New Roman" w:eastAsia="仿宋_GB2312" w:cs="Times New Roman"/>
          <w:b/>
          <w:bCs/>
          <w:snapToGrid w:val="0"/>
          <w:color w:val="auto"/>
          <w:sz w:val="32"/>
          <w:szCs w:val="32"/>
          <w:highlight w:val="none"/>
          <w:lang w:val="en-US" w:eastAsia="zh-CN"/>
        </w:rPr>
        <w:t>达及时性。</w:t>
      </w:r>
      <w:r>
        <w:rPr>
          <w:rFonts w:hint="default" w:ascii="Times New Roman" w:hAnsi="Times New Roman" w:eastAsia="仿宋_GB2312" w:cs="Times New Roman"/>
          <w:b w:val="0"/>
          <w:bCs w:val="0"/>
          <w:snapToGrid w:val="0"/>
          <w:color w:val="auto"/>
          <w:sz w:val="32"/>
          <w:szCs w:val="32"/>
          <w:highlight w:val="none"/>
          <w:lang w:val="en-US" w:eastAsia="zh-CN"/>
        </w:rPr>
        <w:t>严格按照预算法及其实施条例、转移支付管理制度规定以及资金管理办法规定要求分解下达。我省分解下达2022年度</w:t>
      </w:r>
      <w:r>
        <w:rPr>
          <w:rFonts w:hint="default" w:ascii="Times New Roman" w:hAnsi="Times New Roman" w:eastAsia="仿宋_GB2312" w:cs="Times New Roman"/>
          <w:snapToGrid w:val="0"/>
          <w:color w:val="auto"/>
          <w:spacing w:val="0"/>
          <w:kern w:val="0"/>
          <w:sz w:val="32"/>
          <w:szCs w:val="32"/>
          <w:highlight w:val="none"/>
          <w:lang w:val="en-US" w:eastAsia="zh-CN"/>
        </w:rPr>
        <w:t>计划生育</w:t>
      </w:r>
      <w:r>
        <w:rPr>
          <w:rFonts w:hint="default" w:ascii="Times New Roman" w:hAnsi="Times New Roman" w:eastAsia="仿宋_GB2312" w:cs="Times New Roman"/>
          <w:b w:val="0"/>
          <w:bCs w:val="0"/>
          <w:snapToGrid w:val="0"/>
          <w:color w:val="auto"/>
          <w:sz w:val="32"/>
          <w:szCs w:val="32"/>
          <w:highlight w:val="none"/>
          <w:lang w:val="en-US" w:eastAsia="zh-CN"/>
        </w:rPr>
        <w:t>中央转移支付平均用时达到24.5天（见表</w:t>
      </w:r>
      <w:r>
        <w:rPr>
          <w:rFonts w:hint="eastAsia" w:ascii="Times New Roman" w:hAnsi="Times New Roman" w:cs="Times New Roman"/>
          <w:b w:val="0"/>
          <w:bCs w:val="0"/>
          <w:snapToGrid w:val="0"/>
          <w:color w:val="auto"/>
          <w:sz w:val="32"/>
          <w:szCs w:val="32"/>
          <w:highlight w:val="none"/>
          <w:lang w:val="en-US" w:eastAsia="zh-CN"/>
        </w:rPr>
        <w:t>3</w:t>
      </w:r>
      <w:r>
        <w:rPr>
          <w:rFonts w:hint="default" w:ascii="Times New Roman" w:hAnsi="Times New Roman" w:eastAsia="仿宋_GB2312" w:cs="Times New Roman"/>
          <w:b w:val="0"/>
          <w:bCs w:val="0"/>
          <w:snapToGrid w:val="0"/>
          <w:color w:val="auto"/>
          <w:sz w:val="32"/>
          <w:szCs w:val="32"/>
          <w:highlight w:val="none"/>
          <w:lang w:val="en-US" w:eastAsia="zh-CN"/>
        </w:rPr>
        <w:t>），全部符合“在收到中央财政转移支付资金预算后30日内正式下达”的规定，资金下达及时。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sz w:val="28"/>
          <w:szCs w:val="28"/>
          <w:highlight w:val="none"/>
          <w:lang w:val="en-US" w:eastAsia="zh-CN"/>
        </w:rPr>
      </w:pPr>
      <w:r>
        <w:rPr>
          <w:rFonts w:hint="default" w:ascii="Times New Roman" w:hAnsi="Times New Roman" w:eastAsia="宋体" w:cs="Times New Roman"/>
          <w:b/>
          <w:bCs/>
          <w:snapToGrid w:val="0"/>
          <w:color w:val="auto"/>
          <w:sz w:val="28"/>
          <w:szCs w:val="28"/>
          <w:highlight w:val="none"/>
          <w:lang w:val="en-US" w:eastAsia="zh-CN"/>
        </w:rPr>
        <w:t xml:space="preserve">表3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lang w:val="en-US" w:eastAsia="zh-CN"/>
        </w:rPr>
        <w:t>资金下达时间情况</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4"/>
        <w:gridCol w:w="1710"/>
        <w:gridCol w:w="1665"/>
        <w:gridCol w:w="1467"/>
        <w:gridCol w:w="1766"/>
        <w:gridCol w:w="1417"/>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jc w:val="center"/>
        </w:trPr>
        <w:tc>
          <w:tcPr>
            <w:tcW w:w="664"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序号</w:t>
            </w:r>
          </w:p>
        </w:tc>
        <w:tc>
          <w:tcPr>
            <w:tcW w:w="4842"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中央下达</w:t>
            </w:r>
          </w:p>
        </w:tc>
        <w:tc>
          <w:tcPr>
            <w:tcW w:w="3183"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省级下达</w:t>
            </w:r>
          </w:p>
        </w:tc>
        <w:tc>
          <w:tcPr>
            <w:tcW w:w="1050"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用时(天)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jc w:val="center"/>
        </w:trPr>
        <w:tc>
          <w:tcPr>
            <w:tcW w:w="664" w:type="dxa"/>
            <w:vMerge w:val="continue"/>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c>
          <w:tcPr>
            <w:tcW w:w="1710"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文件号财社</w:t>
            </w:r>
          </w:p>
        </w:tc>
        <w:tc>
          <w:tcPr>
            <w:tcW w:w="1665"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落款时间</w:t>
            </w:r>
          </w:p>
        </w:tc>
        <w:tc>
          <w:tcPr>
            <w:tcW w:w="1467"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收文时间</w:t>
            </w:r>
          </w:p>
        </w:tc>
        <w:tc>
          <w:tcPr>
            <w:tcW w:w="1766"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文件号粤财社</w:t>
            </w:r>
          </w:p>
        </w:tc>
        <w:tc>
          <w:tcPr>
            <w:tcW w:w="1417" w:type="dxa"/>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下达时间</w:t>
            </w:r>
          </w:p>
        </w:tc>
        <w:tc>
          <w:tcPr>
            <w:tcW w:w="1050" w:type="dxa"/>
            <w:vMerge w:val="continue"/>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64"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w:t>
            </w:r>
          </w:p>
        </w:tc>
        <w:tc>
          <w:tcPr>
            <w:tcW w:w="171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〔2021〕171号</w:t>
            </w:r>
          </w:p>
        </w:tc>
        <w:tc>
          <w:tcPr>
            <w:tcW w:w="166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2021/10/29</w:t>
            </w:r>
          </w:p>
        </w:tc>
        <w:tc>
          <w:tcPr>
            <w:tcW w:w="1467"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2021/11/29</w:t>
            </w:r>
          </w:p>
        </w:tc>
        <w:tc>
          <w:tcPr>
            <w:tcW w:w="17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〔2021〕316号</w:t>
            </w:r>
          </w:p>
        </w:tc>
        <w:tc>
          <w:tcPr>
            <w:tcW w:w="1417"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2021/12/20</w:t>
            </w:r>
          </w:p>
        </w:tc>
        <w:tc>
          <w:tcPr>
            <w:tcW w:w="105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64"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w:t>
            </w:r>
          </w:p>
        </w:tc>
        <w:tc>
          <w:tcPr>
            <w:tcW w:w="17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〔2022〕61号</w:t>
            </w:r>
          </w:p>
        </w:tc>
        <w:tc>
          <w:tcPr>
            <w:tcW w:w="166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2022/5/19</w:t>
            </w:r>
          </w:p>
        </w:tc>
        <w:tc>
          <w:tcPr>
            <w:tcW w:w="146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2022/6/13*</w:t>
            </w:r>
          </w:p>
        </w:tc>
        <w:tc>
          <w:tcPr>
            <w:tcW w:w="176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〔2022〕115号</w:t>
            </w:r>
          </w:p>
        </w:tc>
        <w:tc>
          <w:tcPr>
            <w:tcW w:w="141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2022/7/11</w:t>
            </w:r>
          </w:p>
        </w:tc>
        <w:tc>
          <w:tcPr>
            <w:tcW w:w="105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28</w:t>
            </w:r>
          </w:p>
        </w:tc>
      </w:tr>
    </w:tbl>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3</w:t>
      </w:r>
      <w:r>
        <w:rPr>
          <w:rFonts w:hint="eastAsia" w:ascii="仿宋_GB2312" w:hAnsi="仿宋_GB2312" w:eastAsia="仿宋_GB2312" w:cs="仿宋_GB2312"/>
          <w:b/>
          <w:bCs/>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rPr>
        <w:t>拨付合规性。</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rPr>
        <w:t>严格按照</w:t>
      </w:r>
      <w:r>
        <w:rPr>
          <w:rFonts w:hint="default" w:ascii="Times New Roman" w:hAnsi="Times New Roman" w:eastAsia="仿宋_GB2312" w:cs="Times New Roman"/>
          <w:b w:val="0"/>
          <w:bCs w:val="0"/>
          <w:snapToGrid w:val="0"/>
          <w:color w:val="auto"/>
          <w:sz w:val="32"/>
          <w:szCs w:val="32"/>
          <w:highlight w:val="none"/>
          <w:lang w:val="en-US" w:eastAsia="zh-CN"/>
        </w:rPr>
        <w:t>财政预算和</w:t>
      </w:r>
      <w:r>
        <w:rPr>
          <w:rFonts w:hint="default" w:ascii="Times New Roman" w:hAnsi="Times New Roman" w:eastAsia="仿宋_GB2312" w:cs="Times New Roman"/>
          <w:b w:val="0"/>
          <w:bCs w:val="0"/>
          <w:snapToGrid w:val="0"/>
          <w:color w:val="auto"/>
          <w:sz w:val="32"/>
          <w:szCs w:val="32"/>
          <w:highlight w:val="none"/>
        </w:rPr>
        <w:t>国库集中支付制度有关规定支付资金，规范预算执行管理</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把好资金拨付关口，确保资金安全、规范和有效使用</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snapToGrid w:val="0"/>
          <w:color w:val="auto"/>
          <w:sz w:val="32"/>
          <w:highlight w:val="none"/>
        </w:rPr>
        <w:t>严格</w:t>
      </w:r>
      <w:r>
        <w:rPr>
          <w:rFonts w:hint="default" w:ascii="Times New Roman" w:hAnsi="Times New Roman" w:eastAsia="仿宋_GB2312" w:cs="Times New Roman"/>
          <w:snapToGrid w:val="0"/>
          <w:color w:val="auto"/>
          <w:sz w:val="32"/>
          <w:highlight w:val="none"/>
          <w:lang w:val="en-US" w:eastAsia="zh-CN"/>
        </w:rPr>
        <w:t>执行核准审批机制，</w:t>
      </w:r>
      <w:r>
        <w:rPr>
          <w:rFonts w:hint="default" w:ascii="Times New Roman" w:hAnsi="Times New Roman" w:eastAsia="仿宋_GB2312" w:cs="Times New Roman"/>
          <w:snapToGrid w:val="0"/>
          <w:color w:val="auto"/>
          <w:sz w:val="32"/>
          <w:highlight w:val="none"/>
        </w:rPr>
        <w:t>受理和初审</w:t>
      </w:r>
      <w:r>
        <w:rPr>
          <w:rFonts w:hint="default" w:ascii="Times New Roman" w:hAnsi="Times New Roman" w:eastAsia="仿宋_GB2312" w:cs="Times New Roman"/>
          <w:snapToGrid w:val="0"/>
          <w:color w:val="auto"/>
          <w:sz w:val="32"/>
          <w:highlight w:val="none"/>
          <w:lang w:val="en-US" w:eastAsia="zh-CN"/>
        </w:rPr>
        <w:t>结果全过程</w:t>
      </w:r>
      <w:r>
        <w:rPr>
          <w:rFonts w:hint="default" w:ascii="Times New Roman" w:hAnsi="Times New Roman" w:eastAsia="仿宋_GB2312" w:cs="Times New Roman"/>
          <w:snapToGrid w:val="0"/>
          <w:color w:val="auto"/>
          <w:sz w:val="32"/>
          <w:highlight w:val="none"/>
        </w:rPr>
        <w:t>公示</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sz w:val="32"/>
          <w:highlight w:val="none"/>
        </w:rPr>
        <w:t>我省于2004年开始实施农村部分计划生育家庭奖励，2009年开始实施计划生育家庭特别扶助制度，项目严格按照“四权分离”的管理模式组织实施，做到政策统一、公开透明、资金到人、监管有序。作为依申请办理事项，在资格确认环节上明确由村（居）委或社区一级负责奖励扶助金申请的受理和初审工作，并在公告栏进行公示；乡镇（街道）卫生健康工作机构负责奖励扶助金申请的</w:t>
      </w:r>
      <w:r>
        <w:rPr>
          <w:rFonts w:hint="default" w:ascii="Times New Roman" w:hAnsi="Times New Roman" w:eastAsia="仿宋_GB2312" w:cs="Times New Roman"/>
          <w:snapToGrid w:val="0"/>
          <w:color w:val="auto"/>
          <w:sz w:val="32"/>
          <w:highlight w:val="none"/>
          <w:lang w:eastAsia="zh-CN"/>
        </w:rPr>
        <w:t>复</w:t>
      </w:r>
      <w:r>
        <w:rPr>
          <w:rFonts w:hint="default" w:ascii="Times New Roman" w:hAnsi="Times New Roman" w:eastAsia="仿宋_GB2312" w:cs="Times New Roman"/>
          <w:snapToGrid w:val="0"/>
          <w:color w:val="auto"/>
          <w:sz w:val="32"/>
          <w:highlight w:val="none"/>
        </w:rPr>
        <w:t>核工作，县（市、区）卫生健康部门负责核实确认奖励名单和编制用款计划。资金管理和发放实行“国库统管，直接补助，到户到人”，奖励扶助资金全部纳入财政预算，中央和省级补助经费</w:t>
      </w:r>
      <w:r>
        <w:rPr>
          <w:rFonts w:hint="default" w:ascii="Times New Roman" w:hAnsi="Times New Roman" w:eastAsia="仿宋_GB2312" w:cs="Times New Roman"/>
          <w:snapToGrid w:val="0"/>
          <w:color w:val="auto"/>
          <w:sz w:val="32"/>
          <w:highlight w:val="none"/>
          <w:lang w:eastAsia="zh-CN"/>
        </w:rPr>
        <w:t>足</w:t>
      </w:r>
      <w:r>
        <w:rPr>
          <w:rFonts w:hint="default" w:ascii="Times New Roman" w:hAnsi="Times New Roman" w:eastAsia="仿宋_GB2312" w:cs="Times New Roman"/>
          <w:snapToGrid w:val="0"/>
          <w:color w:val="auto"/>
          <w:sz w:val="32"/>
          <w:highlight w:val="none"/>
        </w:rPr>
        <w:t>额及时划转至各地财政，并督促地级以上市本级配套分担的经费尽快下达给各地，确保资金及时足额到位；由各地委托代发机构，按时将奖励扶助金直接划转到奖励扶助对象的个人账户。各地对奖励扶助金拨付均建立了严格的审核审批制度，形成了卫生健康部门审核、财政部门审批、国库直接支付的流程，做到资金专项运行和使用全过程严格监管。</w:t>
      </w:r>
      <w:r>
        <w:rPr>
          <w:rFonts w:hint="default" w:ascii="Times New Roman" w:hAnsi="Times New Roman" w:eastAsia="仿宋_GB2312" w:cs="Times New Roman"/>
          <w:b w:val="0"/>
          <w:bCs w:val="0"/>
          <w:snapToGrid w:val="0"/>
          <w:color w:val="auto"/>
          <w:sz w:val="32"/>
          <w:szCs w:val="32"/>
          <w:highlight w:val="none"/>
          <w:lang w:val="en-US" w:eastAsia="zh-CN"/>
        </w:rPr>
        <w:t>2022年，我省负责实施的中央财政补助</w:t>
      </w:r>
      <w:r>
        <w:rPr>
          <w:rFonts w:hint="default" w:ascii="Times New Roman" w:hAnsi="Times New Roman" w:eastAsia="仿宋_GB2312" w:cs="Times New Roman"/>
          <w:snapToGrid w:val="0"/>
          <w:color w:val="auto"/>
          <w:spacing w:val="0"/>
          <w:kern w:val="0"/>
          <w:sz w:val="32"/>
          <w:szCs w:val="32"/>
          <w:highlight w:val="none"/>
          <w:lang w:val="en-US" w:eastAsia="zh-CN"/>
        </w:rPr>
        <w:t>计划生育</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snapToGrid w:val="0"/>
          <w:color w:val="auto"/>
          <w:sz w:val="32"/>
          <w:szCs w:val="32"/>
          <w:highlight w:val="none"/>
          <w:lang w:val="en-US" w:eastAsia="zh-CN"/>
        </w:rPr>
        <w:t>没有</w:t>
      </w:r>
      <w:r>
        <w:rPr>
          <w:rFonts w:hint="default" w:ascii="Times New Roman" w:hAnsi="Times New Roman" w:eastAsia="仿宋_GB2312" w:cs="Times New Roman"/>
          <w:b w:val="0"/>
          <w:bCs w:val="0"/>
          <w:snapToGrid w:val="0"/>
          <w:color w:val="auto"/>
          <w:sz w:val="32"/>
          <w:szCs w:val="32"/>
          <w:highlight w:val="none"/>
        </w:rPr>
        <w:t>出现违规将资金从国库转入财政专户或</w:t>
      </w:r>
      <w:r>
        <w:rPr>
          <w:rFonts w:hint="default" w:ascii="Times New Roman" w:hAnsi="Times New Roman" w:eastAsia="仿宋_GB2312" w:cs="Times New Roman"/>
          <w:b w:val="0"/>
          <w:bCs w:val="0"/>
          <w:snapToGrid w:val="0"/>
          <w:color w:val="auto"/>
          <w:sz w:val="32"/>
          <w:szCs w:val="32"/>
          <w:highlight w:val="none"/>
          <w:lang w:eastAsia="zh-CN"/>
        </w:rPr>
        <w:t>拨</w:t>
      </w:r>
      <w:r>
        <w:rPr>
          <w:rFonts w:hint="default" w:ascii="Times New Roman" w:hAnsi="Times New Roman" w:eastAsia="仿宋_GB2312" w:cs="Times New Roman"/>
          <w:b w:val="0"/>
          <w:bCs w:val="0"/>
          <w:snapToGrid w:val="0"/>
          <w:color w:val="auto"/>
          <w:sz w:val="32"/>
          <w:szCs w:val="32"/>
          <w:highlight w:val="none"/>
        </w:rPr>
        <w:t>付到预算单位实有资金账户等问题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拨付合规性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4</w:t>
      </w:r>
      <w:r>
        <w:rPr>
          <w:rFonts w:hint="default" w:ascii="仿宋_GB2312" w:hAnsi="仿宋_GB2312" w:eastAsia="仿宋_GB2312" w:cs="仿宋_GB2312"/>
          <w:b/>
          <w:bCs/>
          <w:snapToGrid w:val="0"/>
          <w:color w:val="auto"/>
          <w:sz w:val="32"/>
          <w:szCs w:val="32"/>
          <w:highlight w:val="none"/>
          <w:lang w:val="en-US" w:eastAsia="zh-CN"/>
        </w:rPr>
        <w:t>.使用</w:t>
      </w:r>
      <w:r>
        <w:rPr>
          <w:rFonts w:hint="default" w:ascii="Times New Roman" w:hAnsi="Times New Roman" w:eastAsia="仿宋_GB2312" w:cs="Times New Roman"/>
          <w:b/>
          <w:bCs/>
          <w:snapToGrid w:val="0"/>
          <w:color w:val="auto"/>
          <w:sz w:val="32"/>
          <w:szCs w:val="32"/>
          <w:highlight w:val="none"/>
        </w:rPr>
        <w:t>规范性。</w:t>
      </w:r>
      <w:r>
        <w:rPr>
          <w:rFonts w:hint="default" w:ascii="Times New Roman" w:hAnsi="Times New Roman" w:eastAsia="仿宋_GB2312" w:cs="Times New Roman"/>
          <w:b/>
          <w:bCs/>
          <w:snapToGrid w:val="0"/>
          <w:color w:val="auto"/>
          <w:sz w:val="32"/>
          <w:szCs w:val="32"/>
          <w:highlight w:val="none"/>
          <w:lang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认真落实和执行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《财政部 国家卫生健康委 国家医保局 国家中医药局 国家疾控局关于修订基本公共卫生服务等5项补助资金管理办法的通知》（财社〔2022〕31号）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《关于印发广东省医疗卫生领域省级与市县财政事权和支出责任划分改革实施方案的通知》（</w:t>
      </w:r>
      <w:r>
        <w:rPr>
          <w:rFonts w:hint="default" w:ascii="Times New Roman" w:hAnsi="Times New Roman" w:eastAsia="仿宋_GB2312" w:cs="Times New Roman"/>
          <w:b w:val="0"/>
          <w:bCs w:val="0"/>
          <w:snapToGrid w:val="0"/>
          <w:color w:val="auto"/>
          <w:sz w:val="32"/>
          <w:szCs w:val="32"/>
          <w:highlight w:val="none"/>
        </w:rPr>
        <w:t>粤</w:t>
      </w:r>
      <w:r>
        <w:rPr>
          <w:rFonts w:hint="default" w:ascii="Times New Roman" w:hAnsi="Times New Roman" w:eastAsia="仿宋_GB2312" w:cs="Times New Roman"/>
          <w:b w:val="0"/>
          <w:bCs w:val="0"/>
          <w:snapToGrid w:val="0"/>
          <w:color w:val="auto"/>
          <w:sz w:val="32"/>
          <w:szCs w:val="32"/>
          <w:highlight w:val="none"/>
          <w:lang w:val="en-US" w:eastAsia="zh-CN"/>
        </w:rPr>
        <w:t>府办</w:t>
      </w:r>
      <w:r>
        <w:rPr>
          <w:rFonts w:hint="default" w:ascii="Times New Roman" w:hAnsi="Times New Roman" w:eastAsia="仿宋_GB2312" w:cs="Times New Roman"/>
          <w:b w:val="0"/>
          <w:bCs w:val="0"/>
          <w:snapToGrid w:val="0"/>
          <w:color w:val="auto"/>
          <w:sz w:val="32"/>
          <w:szCs w:val="32"/>
          <w:highlight w:val="none"/>
        </w:rPr>
        <w:t>〔2019〕</w:t>
      </w:r>
      <w:r>
        <w:rPr>
          <w:rFonts w:hint="default" w:ascii="Times New Roman" w:hAnsi="Times New Roman" w:eastAsia="仿宋_GB2312" w:cs="Times New Roman"/>
          <w:b w:val="0"/>
          <w:bCs w:val="0"/>
          <w:snapToGrid w:val="0"/>
          <w:color w:val="auto"/>
          <w:sz w:val="32"/>
          <w:szCs w:val="32"/>
          <w:highlight w:val="none"/>
          <w:lang w:val="en-US" w:eastAsia="zh-CN"/>
        </w:rPr>
        <w:t>5</w:t>
      </w:r>
      <w:r>
        <w:rPr>
          <w:rFonts w:hint="default" w:ascii="Times New Roman" w:hAnsi="Times New Roman" w:eastAsia="仿宋_GB2312" w:cs="Times New Roman"/>
          <w:b w:val="0"/>
          <w:bCs w:val="0"/>
          <w:snapToGrid w:val="0"/>
          <w:color w:val="auto"/>
          <w:sz w:val="32"/>
          <w:szCs w:val="32"/>
          <w:highlight w:val="none"/>
        </w:rPr>
        <w:t>号</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以及</w:t>
      </w:r>
      <w:r>
        <w:rPr>
          <w:rFonts w:hint="default" w:ascii="Times New Roman" w:hAnsi="Times New Roman" w:eastAsia="仿宋_GB2312" w:cs="Times New Roman"/>
          <w:snapToGrid w:val="0"/>
          <w:color w:val="auto"/>
          <w:sz w:val="32"/>
          <w:highlight w:val="none"/>
        </w:rPr>
        <w:t>《广东省农村部分计划生育家庭奖励办法的通知》（粤府办〔2004〕27</w:t>
      </w:r>
      <w:r>
        <w:rPr>
          <w:rFonts w:hint="default" w:ascii="Times New Roman" w:hAnsi="Times New Roman" w:eastAsia="仿宋_GB2312" w:cs="Times New Roman"/>
          <w:snapToGrid w:val="0"/>
          <w:color w:val="auto"/>
          <w:sz w:val="32"/>
          <w:highlight w:val="none"/>
          <w:lang w:eastAsia="zh-CN"/>
        </w:rPr>
        <w:t>号）、《</w:t>
      </w:r>
      <w:r>
        <w:rPr>
          <w:rFonts w:hint="default" w:ascii="Times New Roman" w:hAnsi="Times New Roman" w:eastAsia="仿宋_GB2312" w:cs="Times New Roman"/>
          <w:snapToGrid w:val="0"/>
          <w:color w:val="auto"/>
          <w:sz w:val="32"/>
          <w:highlight w:val="none"/>
        </w:rPr>
        <w:t>关于印发广东省农村部分计划生育家庭奖励办法实施细则试行的通知》（粤人口计生委〔2004〕50</w:t>
      </w:r>
      <w:r>
        <w:rPr>
          <w:rFonts w:hint="default" w:ascii="Times New Roman" w:hAnsi="Times New Roman" w:eastAsia="仿宋_GB2312" w:cs="Times New Roman"/>
          <w:snapToGrid w:val="0"/>
          <w:color w:val="auto"/>
          <w:sz w:val="32"/>
          <w:highlight w:val="none"/>
          <w:lang w:eastAsia="zh-CN"/>
        </w:rPr>
        <w:t>号）、《</w:t>
      </w:r>
      <w:r>
        <w:rPr>
          <w:rFonts w:hint="default" w:ascii="Times New Roman" w:hAnsi="Times New Roman" w:eastAsia="仿宋_GB2312" w:cs="Times New Roman"/>
          <w:snapToGrid w:val="0"/>
          <w:color w:val="auto"/>
          <w:sz w:val="32"/>
          <w:highlight w:val="none"/>
        </w:rPr>
        <w:t>关于调整我省农村部分计划生育家庭奖励标准的通知》（粤财教〔2013〕362</w:t>
      </w:r>
      <w:r>
        <w:rPr>
          <w:rFonts w:hint="default" w:ascii="Times New Roman" w:hAnsi="Times New Roman" w:eastAsia="仿宋_GB2312" w:cs="Times New Roman"/>
          <w:snapToGrid w:val="0"/>
          <w:color w:val="auto"/>
          <w:sz w:val="32"/>
          <w:highlight w:val="none"/>
          <w:lang w:eastAsia="zh-CN"/>
        </w:rPr>
        <w:t>号）、《</w:t>
      </w:r>
      <w:r>
        <w:rPr>
          <w:rFonts w:hint="default" w:ascii="Times New Roman" w:hAnsi="Times New Roman" w:eastAsia="仿宋_GB2312" w:cs="Times New Roman"/>
          <w:snapToGrid w:val="0"/>
          <w:color w:val="auto"/>
          <w:sz w:val="32"/>
          <w:highlight w:val="none"/>
        </w:rPr>
        <w:t>广东省计划生育家庭特别扶助制度实施方案》（粤人口计生委〔2009〕21</w:t>
      </w:r>
      <w:r>
        <w:rPr>
          <w:rFonts w:hint="default" w:ascii="Times New Roman" w:hAnsi="Times New Roman" w:eastAsia="仿宋_GB2312" w:cs="Times New Roman"/>
          <w:snapToGrid w:val="0"/>
          <w:color w:val="auto"/>
          <w:sz w:val="32"/>
          <w:highlight w:val="none"/>
          <w:lang w:eastAsia="zh-CN"/>
        </w:rPr>
        <w:t>号）、《</w:t>
      </w:r>
      <w:r>
        <w:rPr>
          <w:rFonts w:hint="default" w:ascii="Times New Roman" w:hAnsi="Times New Roman" w:eastAsia="仿宋_GB2312" w:cs="Times New Roman"/>
          <w:snapToGrid w:val="0"/>
          <w:color w:val="auto"/>
          <w:sz w:val="32"/>
          <w:highlight w:val="none"/>
        </w:rPr>
        <w:t>印发计划生育手术并发症人员特别扶助制度实施办法的通知》（粤人口计生委〔2012〕71</w:t>
      </w:r>
      <w:r>
        <w:rPr>
          <w:rFonts w:hint="default" w:ascii="Times New Roman" w:hAnsi="Times New Roman" w:eastAsia="仿宋_GB2312" w:cs="Times New Roman"/>
          <w:snapToGrid w:val="0"/>
          <w:color w:val="auto"/>
          <w:sz w:val="32"/>
          <w:highlight w:val="none"/>
          <w:lang w:eastAsia="zh-CN"/>
        </w:rPr>
        <w:t>号）、《</w:t>
      </w:r>
      <w:r>
        <w:rPr>
          <w:rFonts w:hint="default" w:ascii="Times New Roman" w:hAnsi="Times New Roman" w:eastAsia="仿宋_GB2312" w:cs="Times New Roman"/>
          <w:snapToGrid w:val="0"/>
          <w:color w:val="auto"/>
          <w:sz w:val="32"/>
          <w:highlight w:val="none"/>
        </w:rPr>
        <w:t>关于进一步做好计划生育特殊困难家庭扶助工作的通知》（粤卫〔2014〕86号）</w:t>
      </w:r>
      <w:r>
        <w:rPr>
          <w:rFonts w:hint="default" w:ascii="Times New Roman" w:hAnsi="Times New Roman" w:eastAsia="仿宋_GB2312" w:cs="Times New Roman"/>
          <w:snapToGrid w:val="0"/>
          <w:color w:val="auto"/>
          <w:sz w:val="32"/>
          <w:highlight w:val="none"/>
          <w:lang w:eastAsia="zh-CN"/>
        </w:rPr>
        <w:t>和《广东省财政厅关于下达2022年中央财政计划生育转移支付第二批资金预算的通知》（粤财社〔2022〕145号）</w:t>
      </w:r>
      <w:r>
        <w:rPr>
          <w:rFonts w:hint="default" w:ascii="Times New Roman" w:hAnsi="Times New Roman" w:eastAsia="仿宋_GB2312" w:cs="Times New Roman"/>
          <w:b w:val="0"/>
          <w:bCs w:val="0"/>
          <w:snapToGrid w:val="0"/>
          <w:color w:val="auto"/>
          <w:sz w:val="32"/>
          <w:szCs w:val="32"/>
          <w:highlight w:val="none"/>
          <w:lang w:val="en-US" w:eastAsia="zh-CN"/>
        </w:rPr>
        <w:t>等文件，严格按照财政核定的</w:t>
      </w:r>
      <w:r>
        <w:rPr>
          <w:rFonts w:hint="default" w:ascii="Times New Roman" w:hAnsi="Times New Roman" w:eastAsia="仿宋_GB2312" w:cs="Times New Roman"/>
          <w:b w:val="0"/>
          <w:bCs w:val="0"/>
          <w:snapToGrid w:val="0"/>
          <w:color w:val="auto"/>
          <w:sz w:val="32"/>
          <w:szCs w:val="32"/>
          <w:highlight w:val="none"/>
        </w:rPr>
        <w:t>支出范国、支出用途</w:t>
      </w:r>
      <w:r>
        <w:rPr>
          <w:rFonts w:hint="default" w:ascii="Times New Roman" w:hAnsi="Times New Roman" w:eastAsia="仿宋_GB2312" w:cs="Times New Roman"/>
          <w:b w:val="0"/>
          <w:bCs w:val="0"/>
          <w:snapToGrid w:val="0"/>
          <w:color w:val="auto"/>
          <w:sz w:val="32"/>
          <w:szCs w:val="32"/>
          <w:highlight w:val="none"/>
          <w:lang w:val="en-US" w:eastAsia="zh-CN"/>
        </w:rPr>
        <w:t>以及支出管理办法使用资金</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对</w:t>
      </w:r>
      <w:r>
        <w:rPr>
          <w:rFonts w:hint="default" w:ascii="Times New Roman" w:hAnsi="Times New Roman" w:eastAsia="仿宋_GB2312" w:cs="Times New Roman"/>
          <w:b w:val="0"/>
          <w:bCs w:val="0"/>
          <w:snapToGrid w:val="0"/>
          <w:color w:val="auto"/>
          <w:sz w:val="32"/>
          <w:szCs w:val="32"/>
          <w:highlight w:val="none"/>
          <w:lang w:val="en-US" w:eastAsia="zh-CN"/>
        </w:rPr>
        <w:t>涉及政府采购的，严格按照政府采购有关法律法规及制度执行，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确保</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管好用好</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资金</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加强会计核算工作。全部中央转移支付资金实行专款专用、专账核算，真实全面反映预算执行情况和财务信息</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加强监督管理。一方面，依托省财政资金“双监控”系统实施常态化监督，盯紧资金流向和具体支出情况；另一方面，通过审计、财政监督、检查督导、绩效评价等方式强化资金使用规范性检查，对发现的问题，要求各地各单位全面组织核查，省卫生健康委主管处室负责重点核查，并及时采取有效措施纠偏纠错，确保资金使用合法合规有效</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经审查各地各单位提交的自评材料，</w:t>
      </w:r>
      <w:r>
        <w:rPr>
          <w:rFonts w:hint="default" w:ascii="Times New Roman" w:hAnsi="Times New Roman" w:eastAsia="仿宋_GB2312" w:cs="Times New Roman"/>
          <w:snapToGrid w:val="0"/>
          <w:color w:val="auto"/>
          <w:kern w:val="2"/>
          <w:sz w:val="32"/>
          <w:szCs w:val="32"/>
          <w:highlight w:val="none"/>
          <w:lang w:eastAsia="zh-CN"/>
        </w:rPr>
        <w:t>各</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地和有关单位</w:t>
      </w:r>
      <w:r>
        <w:rPr>
          <w:rFonts w:hint="default" w:ascii="Times New Roman" w:hAnsi="Times New Roman" w:eastAsia="仿宋_GB2312" w:cs="Times New Roman"/>
          <w:snapToGrid w:val="0"/>
          <w:color w:val="auto"/>
          <w:kern w:val="2"/>
          <w:sz w:val="32"/>
          <w:szCs w:val="32"/>
          <w:highlight w:val="none"/>
          <w:lang w:eastAsia="zh-CN"/>
        </w:rPr>
        <w:t>资金</w:t>
      </w:r>
      <w:r>
        <w:rPr>
          <w:rFonts w:hint="default" w:ascii="Times New Roman" w:hAnsi="Times New Roman" w:eastAsia="仿宋_GB2312" w:cs="Times New Roman"/>
          <w:snapToGrid w:val="0"/>
          <w:color w:val="auto"/>
          <w:kern w:val="2"/>
          <w:sz w:val="32"/>
          <w:szCs w:val="32"/>
          <w:highlight w:val="none"/>
          <w:lang w:val="en-US" w:eastAsia="zh-CN"/>
        </w:rPr>
        <w:t>管理</w:t>
      </w:r>
      <w:r>
        <w:rPr>
          <w:rFonts w:hint="default" w:ascii="Times New Roman" w:hAnsi="Times New Roman" w:eastAsia="仿宋_GB2312" w:cs="Times New Roman"/>
          <w:snapToGrid w:val="0"/>
          <w:color w:val="auto"/>
          <w:kern w:val="2"/>
          <w:sz w:val="32"/>
          <w:szCs w:val="32"/>
          <w:highlight w:val="none"/>
          <w:lang w:eastAsia="zh-CN"/>
        </w:rPr>
        <w:t>制度执行良好</w:t>
      </w:r>
      <w:r>
        <w:rPr>
          <w:rFonts w:hint="default" w:ascii="Times New Roman" w:hAnsi="Times New Roman" w:eastAsia="仿宋_GB2312" w:cs="Times New Roman"/>
          <w:snapToGrid w:val="0"/>
          <w:color w:val="auto"/>
          <w:kern w:val="2"/>
          <w:sz w:val="32"/>
          <w:szCs w:val="32"/>
          <w:highlight w:val="none"/>
        </w:rPr>
        <w:t>，会计核算</w:t>
      </w:r>
      <w:r>
        <w:rPr>
          <w:rFonts w:hint="default" w:ascii="Times New Roman" w:hAnsi="Times New Roman" w:eastAsia="仿宋_GB2312" w:cs="Times New Roman"/>
          <w:snapToGrid w:val="0"/>
          <w:color w:val="auto"/>
          <w:kern w:val="2"/>
          <w:sz w:val="32"/>
          <w:szCs w:val="32"/>
          <w:highlight w:val="none"/>
          <w:lang w:eastAsia="zh-CN"/>
        </w:rPr>
        <w:t>相对规范</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rPr>
        <w:t>严格按照下达预算的科目和项目执行，未出现截留、挤占、挪用或擅自调整等问题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使用规范性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sz w:val="32"/>
          <w:szCs w:val="32"/>
          <w:highlight w:val="none"/>
          <w:lang w:val="en-US" w:eastAsia="zh-CN"/>
        </w:rPr>
        <w:t>5</w:t>
      </w:r>
      <w:r>
        <w:rPr>
          <w:rFonts w:hint="default" w:ascii="仿宋_GB2312" w:hAnsi="仿宋_GB2312" w:eastAsia="仿宋_GB2312" w:cs="仿宋_GB2312"/>
          <w:b/>
          <w:bCs/>
          <w:snapToGrid w:val="0"/>
          <w:color w:val="auto"/>
          <w:sz w:val="32"/>
          <w:szCs w:val="32"/>
          <w:highlight w:val="none"/>
          <w:lang w:val="en-US" w:eastAsia="zh-CN"/>
        </w:rPr>
        <w:t>.执行</w:t>
      </w:r>
      <w:r>
        <w:rPr>
          <w:rFonts w:hint="default" w:ascii="Times New Roman" w:hAnsi="Times New Roman" w:eastAsia="仿宋_GB2312" w:cs="Times New Roman"/>
          <w:b/>
          <w:bCs/>
          <w:snapToGrid w:val="0"/>
          <w:color w:val="auto"/>
          <w:sz w:val="32"/>
          <w:szCs w:val="32"/>
          <w:highlight w:val="none"/>
        </w:rPr>
        <w:t>准确性。</w:t>
      </w:r>
      <w:r>
        <w:rPr>
          <w:rFonts w:hint="default" w:ascii="Times New Roman" w:hAnsi="Times New Roman" w:eastAsia="仿宋_GB2312" w:cs="Times New Roman"/>
          <w:b w:val="0"/>
          <w:bCs w:val="0"/>
          <w:snapToGrid w:val="0"/>
          <w:color w:val="auto"/>
          <w:sz w:val="32"/>
          <w:szCs w:val="32"/>
          <w:highlight w:val="none"/>
          <w:lang w:val="en-US" w:eastAsia="zh-CN"/>
        </w:rPr>
        <w:t>我省严格</w:t>
      </w:r>
      <w:r>
        <w:rPr>
          <w:rFonts w:hint="default" w:ascii="Times New Roman" w:hAnsi="Times New Roman" w:eastAsia="仿宋_GB2312" w:cs="Times New Roman"/>
          <w:b w:val="0"/>
          <w:bCs w:val="0"/>
          <w:snapToGrid w:val="0"/>
          <w:color w:val="auto"/>
          <w:sz w:val="32"/>
          <w:szCs w:val="32"/>
          <w:highlight w:val="none"/>
        </w:rPr>
        <w:t>按照</w:t>
      </w:r>
      <w:r>
        <w:rPr>
          <w:rFonts w:hint="default" w:ascii="Times New Roman" w:hAnsi="Times New Roman" w:eastAsia="仿宋_GB2312" w:cs="Times New Roman"/>
          <w:b w:val="0"/>
          <w:bCs w:val="0"/>
          <w:snapToGrid w:val="0"/>
          <w:color w:val="auto"/>
          <w:sz w:val="32"/>
          <w:szCs w:val="32"/>
          <w:highlight w:val="none"/>
          <w:lang w:val="en-US" w:eastAsia="zh-CN"/>
        </w:rPr>
        <w:t>中央</w:t>
      </w:r>
      <w:r>
        <w:rPr>
          <w:rFonts w:hint="default" w:ascii="Times New Roman" w:hAnsi="Times New Roman" w:eastAsia="仿宋_GB2312" w:cs="Times New Roman"/>
          <w:b w:val="0"/>
          <w:bCs w:val="0"/>
          <w:snapToGrid w:val="0"/>
          <w:color w:val="auto"/>
          <w:sz w:val="32"/>
          <w:szCs w:val="32"/>
          <w:highlight w:val="none"/>
        </w:rPr>
        <w:t>下达</w:t>
      </w:r>
      <w:r>
        <w:rPr>
          <w:rFonts w:hint="default" w:ascii="Times New Roman" w:hAnsi="Times New Roman" w:eastAsia="仿宋_GB2312" w:cs="Times New Roman"/>
          <w:b w:val="0"/>
          <w:bCs w:val="0"/>
          <w:snapToGrid w:val="0"/>
          <w:color w:val="auto"/>
          <w:sz w:val="32"/>
          <w:szCs w:val="32"/>
          <w:highlight w:val="none"/>
          <w:lang w:val="en-US" w:eastAsia="zh-CN"/>
        </w:rPr>
        <w:t>和本级预算</w:t>
      </w:r>
      <w:r>
        <w:rPr>
          <w:rFonts w:hint="default" w:ascii="Times New Roman" w:hAnsi="Times New Roman" w:eastAsia="仿宋_GB2312" w:cs="Times New Roman"/>
          <w:b w:val="0"/>
          <w:bCs w:val="0"/>
          <w:snapToGrid w:val="0"/>
          <w:color w:val="auto"/>
          <w:sz w:val="32"/>
          <w:szCs w:val="32"/>
          <w:highlight w:val="none"/>
        </w:rPr>
        <w:t>安排</w:t>
      </w:r>
      <w:r>
        <w:rPr>
          <w:rFonts w:hint="default" w:ascii="Times New Roman" w:hAnsi="Times New Roman" w:eastAsia="仿宋_GB2312" w:cs="Times New Roman"/>
          <w:b w:val="0"/>
          <w:bCs w:val="0"/>
          <w:snapToGrid w:val="0"/>
          <w:color w:val="auto"/>
          <w:sz w:val="32"/>
          <w:szCs w:val="32"/>
          <w:highlight w:val="none"/>
          <w:lang w:val="en-US" w:eastAsia="zh-CN"/>
        </w:rPr>
        <w:t>的资金</w:t>
      </w:r>
      <w:r>
        <w:rPr>
          <w:rFonts w:hint="default" w:ascii="Times New Roman" w:hAnsi="Times New Roman" w:eastAsia="仿宋_GB2312" w:cs="Times New Roman"/>
          <w:b w:val="0"/>
          <w:bCs w:val="0"/>
          <w:snapToGrid w:val="0"/>
          <w:color w:val="auto"/>
          <w:sz w:val="32"/>
          <w:szCs w:val="32"/>
          <w:highlight w:val="none"/>
        </w:rPr>
        <w:t>执行</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我省</w:t>
      </w:r>
      <w:r>
        <w:rPr>
          <w:rFonts w:hint="default" w:ascii="Times New Roman" w:hAnsi="Times New Roman" w:eastAsia="仿宋_GB2312" w:cs="Times New Roman"/>
          <w:b w:val="0"/>
          <w:bCs w:val="0"/>
          <w:snapToGrid w:val="0"/>
          <w:color w:val="auto"/>
          <w:sz w:val="32"/>
          <w:szCs w:val="32"/>
          <w:highlight w:val="none"/>
          <w:lang w:val="en-US" w:eastAsia="zh-CN"/>
        </w:rPr>
        <w:t>2022年度</w:t>
      </w:r>
      <w:r>
        <w:rPr>
          <w:rFonts w:hint="default" w:ascii="Times New Roman" w:hAnsi="Times New Roman" w:eastAsia="仿宋_GB2312" w:cs="Times New Roman"/>
          <w:snapToGrid w:val="0"/>
          <w:color w:val="auto"/>
          <w:spacing w:val="0"/>
          <w:kern w:val="0"/>
          <w:sz w:val="32"/>
          <w:szCs w:val="32"/>
          <w:highlight w:val="none"/>
          <w:lang w:val="en-US" w:eastAsia="zh-CN"/>
        </w:rPr>
        <w:t>计划生育</w:t>
      </w:r>
      <w:r>
        <w:rPr>
          <w:rFonts w:hint="default" w:ascii="Times New Roman" w:hAnsi="Times New Roman" w:eastAsia="仿宋_GB2312" w:cs="Times New Roman"/>
          <w:b w:val="0"/>
          <w:bCs w:val="0"/>
          <w:snapToGrid w:val="0"/>
          <w:color w:val="auto"/>
          <w:sz w:val="32"/>
          <w:szCs w:val="32"/>
          <w:highlight w:val="none"/>
          <w:lang w:val="en-US" w:eastAsia="zh-CN"/>
        </w:rPr>
        <w:t>中央转移支付</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预算执行率</w:t>
      </w:r>
      <w:r>
        <w:rPr>
          <w:rFonts w:hint="default" w:ascii="Times New Roman" w:hAnsi="Times New Roman" w:eastAsia="仿宋_GB2312" w:cs="Times New Roman"/>
          <w:b w:val="0"/>
          <w:bCs w:val="0"/>
          <w:snapToGrid w:val="0"/>
          <w:color w:val="auto"/>
          <w:sz w:val="32"/>
          <w:szCs w:val="32"/>
          <w:highlight w:val="none"/>
          <w:lang w:val="en-US" w:eastAsia="zh-CN"/>
        </w:rPr>
        <w:t>98.08%，预算执行率达到90%以上的支出要求。中央转移支付结余资金198.04万元，结余率1.92%。2022年没有发生预算调整或者项目调整事宜，预算执行准确，</w:t>
      </w:r>
      <w:r>
        <w:rPr>
          <w:rFonts w:hint="default" w:ascii="Times New Roman" w:hAnsi="Times New Roman" w:eastAsia="仿宋_GB2312" w:cs="Times New Roman"/>
          <w:b w:val="0"/>
          <w:bCs w:val="0"/>
          <w:snapToGrid w:val="0"/>
          <w:color w:val="auto"/>
          <w:sz w:val="32"/>
          <w:szCs w:val="32"/>
          <w:highlight w:val="none"/>
        </w:rPr>
        <w:t>不存在执行数偏离预算数较多的问题</w:t>
      </w:r>
      <w:r>
        <w:rPr>
          <w:rFonts w:hint="default" w:ascii="Times New Roman" w:hAnsi="Times New Roman" w:eastAsia="仿宋_GB2312" w:cs="Times New Roman"/>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楷体"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6</w:t>
      </w:r>
      <w:r>
        <w:rPr>
          <w:rFonts w:hint="default" w:ascii="仿宋_GB2312" w:hAnsi="仿宋_GB2312" w:eastAsia="仿宋_GB2312" w:cs="仿宋_GB2312"/>
          <w:b/>
          <w:bCs/>
          <w:snapToGrid w:val="0"/>
          <w:color w:val="auto"/>
          <w:sz w:val="32"/>
          <w:szCs w:val="32"/>
          <w:highlight w:val="none"/>
          <w:lang w:val="en-US" w:eastAsia="zh-CN"/>
        </w:rPr>
        <w:t>.预</w:t>
      </w:r>
      <w:r>
        <w:rPr>
          <w:rFonts w:hint="default" w:ascii="Times New Roman" w:hAnsi="Times New Roman" w:eastAsia="仿宋_GB2312" w:cs="Times New Roman"/>
          <w:b/>
          <w:bCs/>
          <w:snapToGrid w:val="0"/>
          <w:color w:val="auto"/>
          <w:sz w:val="32"/>
          <w:szCs w:val="32"/>
          <w:highlight w:val="none"/>
        </w:rPr>
        <w:t>算绩效管理情况。</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制定出台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《广东省卫生健康领域全面实施预算绩效管理工作实施方案》和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《广东省卫生健康委关于印发广东省卫生健康委部门预算绩效管理暂行办法的通知》</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全面加强全省</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卫生健康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领域</w:t>
      </w:r>
      <w:r>
        <w:rPr>
          <w:rFonts w:hint="default" w:ascii="Times New Roman" w:hAnsi="Times New Roman" w:eastAsia="仿宋_GB2312" w:cs="Times New Roman"/>
          <w:snapToGrid w:val="0"/>
          <w:color w:val="auto"/>
          <w:sz w:val="32"/>
          <w:szCs w:val="32"/>
          <w:highlight w:val="none"/>
        </w:rPr>
        <w:t>预算绩效管理工作，</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形成预算编制有目标、</w:t>
      </w:r>
      <w:r>
        <w:rPr>
          <w:rFonts w:hint="default" w:ascii="Times New Roman" w:hAnsi="Times New Roman" w:eastAsia="仿宋_GB2312" w:cs="Times New Roman"/>
          <w:snapToGrid w:val="0"/>
          <w:color w:val="auto"/>
          <w:sz w:val="32"/>
          <w:szCs w:val="32"/>
          <w:highlight w:val="none"/>
        </w:rPr>
        <w:t>事前</w:t>
      </w:r>
      <w:r>
        <w:rPr>
          <w:rFonts w:hint="default" w:ascii="Times New Roman" w:hAnsi="Times New Roman" w:eastAsia="仿宋_GB2312" w:cs="Times New Roman"/>
          <w:snapToGrid w:val="0"/>
          <w:color w:val="auto"/>
          <w:sz w:val="32"/>
          <w:szCs w:val="32"/>
          <w:highlight w:val="none"/>
          <w:lang w:val="en-US" w:eastAsia="zh-CN"/>
        </w:rPr>
        <w:t>有</w:t>
      </w:r>
      <w:r>
        <w:rPr>
          <w:rFonts w:hint="default" w:ascii="Times New Roman" w:hAnsi="Times New Roman" w:eastAsia="仿宋_GB2312" w:cs="Times New Roman"/>
          <w:snapToGrid w:val="0"/>
          <w:color w:val="auto"/>
          <w:sz w:val="32"/>
          <w:szCs w:val="32"/>
          <w:highlight w:val="none"/>
        </w:rPr>
        <w:t>绩效评估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绩效运行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有监控、</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项目结束</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有评价、评价结果有应用的</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预算绩效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管理</w:t>
      </w:r>
      <w:r>
        <w:rPr>
          <w:rFonts w:hint="default" w:ascii="Times New Roman" w:hAnsi="Times New Roman" w:eastAsia="仿宋_GB2312" w:cs="Times New Roman"/>
          <w:snapToGrid w:val="0"/>
          <w:color w:val="auto"/>
          <w:sz w:val="32"/>
          <w:szCs w:val="32"/>
          <w:highlight w:val="none"/>
          <w:lang w:val="en-US" w:eastAsia="zh-CN"/>
        </w:rPr>
        <w:t>机制，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切实提高财政资金使用效益</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及时</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val="en-US" w:eastAsia="zh-CN"/>
        </w:rPr>
        <w:t>对下</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分解国家绩效目标任务</w:t>
      </w:r>
      <w:r>
        <w:rPr>
          <w:rFonts w:hint="default" w:ascii="Times New Roman" w:hAnsi="Times New Roman" w:eastAsia="仿宋_GB2312" w:cs="Times New Roman"/>
          <w:b w:val="0"/>
          <w:bCs w:val="0"/>
          <w:snapToGrid w:val="0"/>
          <w:color w:val="auto"/>
          <w:sz w:val="32"/>
          <w:szCs w:val="32"/>
          <w:highlight w:val="none"/>
        </w:rPr>
        <w:t>，将有</w:t>
      </w:r>
      <w:r>
        <w:rPr>
          <w:rFonts w:hint="default" w:ascii="Times New Roman" w:hAnsi="Times New Roman" w:eastAsia="仿宋_GB2312" w:cs="Times New Roman"/>
          <w:b w:val="0"/>
          <w:bCs w:val="0"/>
          <w:snapToGrid w:val="0"/>
          <w:color w:val="auto"/>
          <w:sz w:val="32"/>
          <w:szCs w:val="32"/>
          <w:highlight w:val="none"/>
          <w:lang w:val="en-US" w:eastAsia="zh-CN"/>
        </w:rPr>
        <w:t>关</w:t>
      </w:r>
      <w:r>
        <w:rPr>
          <w:rFonts w:hint="default" w:ascii="Times New Roman" w:hAnsi="Times New Roman" w:eastAsia="仿宋_GB2312" w:cs="Times New Roman"/>
          <w:b w:val="0"/>
          <w:bCs w:val="0"/>
          <w:snapToGrid w:val="0"/>
          <w:color w:val="auto"/>
          <w:sz w:val="32"/>
          <w:szCs w:val="32"/>
          <w:highlight w:val="none"/>
        </w:rPr>
        <w:t>资金纳入</w:t>
      </w:r>
      <w:r>
        <w:rPr>
          <w:rFonts w:hint="default" w:ascii="Times New Roman" w:hAnsi="Times New Roman" w:eastAsia="仿宋_GB2312" w:cs="Times New Roman"/>
          <w:b w:val="0"/>
          <w:bCs w:val="0"/>
          <w:snapToGrid w:val="0"/>
          <w:color w:val="auto"/>
          <w:sz w:val="32"/>
          <w:szCs w:val="32"/>
          <w:highlight w:val="none"/>
          <w:lang w:val="en-US" w:eastAsia="zh-CN"/>
        </w:rPr>
        <w:t>本</w:t>
      </w:r>
      <w:r>
        <w:rPr>
          <w:rFonts w:hint="default" w:ascii="Times New Roman" w:hAnsi="Times New Roman" w:eastAsia="仿宋_GB2312" w:cs="Times New Roman"/>
          <w:b w:val="0"/>
          <w:bCs w:val="0"/>
          <w:snapToGrid w:val="0"/>
          <w:color w:val="auto"/>
          <w:sz w:val="32"/>
          <w:szCs w:val="32"/>
          <w:highlight w:val="none"/>
        </w:rPr>
        <w:t>级</w:t>
      </w:r>
      <w:r>
        <w:rPr>
          <w:rFonts w:hint="default" w:ascii="Times New Roman" w:hAnsi="Times New Roman" w:eastAsia="仿宋_GB2312" w:cs="Times New Roman"/>
          <w:b w:val="0"/>
          <w:bCs w:val="0"/>
          <w:snapToGrid w:val="0"/>
          <w:color w:val="auto"/>
          <w:sz w:val="32"/>
          <w:szCs w:val="32"/>
          <w:highlight w:val="none"/>
          <w:lang w:val="en-US" w:eastAsia="zh-CN"/>
        </w:rPr>
        <w:t>预</w:t>
      </w:r>
      <w:r>
        <w:rPr>
          <w:rFonts w:hint="default" w:ascii="Times New Roman" w:hAnsi="Times New Roman" w:eastAsia="仿宋_GB2312" w:cs="Times New Roman"/>
          <w:b w:val="0"/>
          <w:bCs w:val="0"/>
          <w:snapToGrid w:val="0"/>
          <w:color w:val="auto"/>
          <w:sz w:val="32"/>
          <w:szCs w:val="32"/>
          <w:highlight w:val="none"/>
        </w:rPr>
        <w:t>算</w:t>
      </w:r>
      <w:r>
        <w:rPr>
          <w:rFonts w:hint="default" w:ascii="Times New Roman" w:hAnsi="Times New Roman" w:eastAsia="仿宋_GB2312"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对下</w:t>
      </w:r>
      <w:r>
        <w:rPr>
          <w:rFonts w:hint="default" w:ascii="Times New Roman" w:hAnsi="Times New Roman" w:eastAsia="仿宋_GB2312" w:cs="Times New Roman"/>
          <w:b w:val="0"/>
          <w:bCs w:val="0"/>
          <w:snapToGrid w:val="0"/>
          <w:color w:val="auto"/>
          <w:sz w:val="32"/>
          <w:szCs w:val="32"/>
          <w:highlight w:val="none"/>
          <w:lang w:val="en-US" w:eastAsia="zh-CN"/>
        </w:rPr>
        <w:t>转移</w:t>
      </w:r>
      <w:r>
        <w:rPr>
          <w:rFonts w:hint="default" w:ascii="Times New Roman" w:hAnsi="Times New Roman" w:eastAsia="仿宋_GB2312" w:cs="Times New Roman"/>
          <w:b w:val="0"/>
          <w:bCs w:val="0"/>
          <w:snapToGrid w:val="0"/>
          <w:color w:val="auto"/>
          <w:sz w:val="32"/>
          <w:szCs w:val="32"/>
          <w:highlight w:val="none"/>
        </w:rPr>
        <w:t>支付</w:t>
      </w:r>
      <w:r>
        <w:rPr>
          <w:rFonts w:hint="default" w:ascii="Times New Roman" w:hAnsi="Times New Roman" w:eastAsia="仿宋_GB2312" w:cs="Times New Roman"/>
          <w:b w:val="0"/>
          <w:bCs w:val="0"/>
          <w:snapToGrid w:val="0"/>
          <w:color w:val="auto"/>
          <w:sz w:val="32"/>
          <w:szCs w:val="32"/>
          <w:highlight w:val="none"/>
          <w:lang w:val="en-US" w:eastAsia="zh-CN"/>
        </w:rPr>
        <w:t>的</w:t>
      </w:r>
      <w:r>
        <w:rPr>
          <w:rFonts w:hint="default" w:ascii="Times New Roman" w:hAnsi="Times New Roman" w:eastAsia="仿宋_GB2312" w:cs="Times New Roman"/>
          <w:b w:val="0"/>
          <w:bCs w:val="0"/>
          <w:snapToGrid w:val="0"/>
          <w:color w:val="auto"/>
          <w:sz w:val="32"/>
          <w:szCs w:val="32"/>
          <w:highlight w:val="none"/>
        </w:rPr>
        <w:t>绩效管理</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省卫生健康委商省财政厅科学设定了绩效目标和绩效指标，并在向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正式下达转移支付预算时</w:t>
      </w:r>
      <w:r>
        <w:rPr>
          <w:rFonts w:hint="default" w:ascii="Times New Roman" w:hAnsi="Times New Roman" w:eastAsia="仿宋_GB2312" w:cs="Times New Roman"/>
          <w:b w:val="0"/>
          <w:bCs w:val="0"/>
          <w:snapToGrid w:val="0"/>
          <w:color w:val="auto"/>
          <w:sz w:val="32"/>
          <w:szCs w:val="32"/>
          <w:highlight w:val="none"/>
        </w:rPr>
        <w:t>同步下达</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同时抄送财政部广东监管局。</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做好绩效运行监控工作。先后</w:t>
      </w:r>
      <w:r>
        <w:rPr>
          <w:rFonts w:hint="default" w:ascii="Times New Roman" w:hAnsi="Times New Roman" w:eastAsia="仿宋_GB2312" w:cs="Times New Roman"/>
          <w:snapToGrid w:val="0"/>
          <w:color w:val="auto"/>
          <w:sz w:val="32"/>
          <w:szCs w:val="32"/>
          <w:highlight w:val="none"/>
          <w:lang w:val="en-US" w:eastAsia="zh-CN"/>
        </w:rPr>
        <w:t>制订了《关于建立预算支出执行定期分析机制的通知》（粤财预〔2019〕27号）、《广东省卫生健康委办公室关于建立预算支出执行定期分析机制的通知》(粤卫办函〔2019〕96号）、《</w:t>
      </w:r>
      <w:r>
        <w:rPr>
          <w:rFonts w:hint="default" w:ascii="Times New Roman" w:hAnsi="Times New Roman" w:eastAsia="仿宋_GB2312" w:cs="Times New Roman"/>
          <w:snapToGrid w:val="0"/>
          <w:color w:val="auto"/>
          <w:sz w:val="32"/>
          <w:szCs w:val="32"/>
          <w:highlight w:val="none"/>
          <w:lang w:eastAsia="zh-CN"/>
        </w:rPr>
        <w:t>省卫生健康委预算执行支出进度通报办法（试行）》（粤卫办财务函〔2022〕20号）</w:t>
      </w:r>
      <w:r>
        <w:rPr>
          <w:rFonts w:hint="default" w:ascii="Times New Roman" w:hAnsi="Times New Roman" w:eastAsia="仿宋_GB2312" w:cs="Times New Roman"/>
          <w:snapToGrid w:val="0"/>
          <w:color w:val="auto"/>
          <w:sz w:val="32"/>
          <w:szCs w:val="32"/>
          <w:highlight w:val="none"/>
          <w:lang w:val="en-US" w:eastAsia="zh-CN"/>
        </w:rPr>
        <w:t>等文件</w:t>
      </w:r>
      <w:r>
        <w:rPr>
          <w:rFonts w:hint="default" w:ascii="Times New Roman" w:hAnsi="Times New Roman" w:eastAsia="仿宋_GB2312" w:cs="Times New Roman"/>
          <w:snapToGrid w:val="0"/>
          <w:color w:val="auto"/>
          <w:sz w:val="32"/>
          <w:szCs w:val="32"/>
          <w:highlight w:val="none"/>
          <w:lang w:eastAsia="zh-CN"/>
        </w:rPr>
        <w:t>。此外还</w:t>
      </w:r>
      <w:r>
        <w:rPr>
          <w:rFonts w:hint="default" w:ascii="Times New Roman" w:hAnsi="Times New Roman" w:eastAsia="仿宋_GB2312" w:cs="Times New Roman"/>
          <w:snapToGrid w:val="0"/>
          <w:color w:val="auto"/>
          <w:sz w:val="32"/>
          <w:szCs w:val="32"/>
          <w:highlight w:val="none"/>
          <w:lang w:val="en-US" w:eastAsia="zh-CN"/>
        </w:rPr>
        <w:t>对中央转移支付资金支出进度实施月通报制度，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督导不力、资金支出率偏低、指标落实严重滞后等问题提出改进建议和要求</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四是</w:t>
      </w:r>
      <w:r>
        <w:rPr>
          <w:rFonts w:hint="default" w:ascii="Times New Roman" w:hAnsi="Times New Roman" w:eastAsia="仿宋_GB2312" w:cs="Times New Roman"/>
          <w:b w:val="0"/>
          <w:bCs w:val="0"/>
          <w:snapToGrid w:val="0"/>
          <w:color w:val="auto"/>
          <w:sz w:val="32"/>
          <w:szCs w:val="32"/>
          <w:highlight w:val="none"/>
          <w:lang w:val="en-US" w:eastAsia="zh-CN"/>
        </w:rPr>
        <w:t>及时组织绩效评价工作。年度预算执行结束后，我省组织各地各单位对中央转移支付管理情况、绩效目标完成情况、政策和项目实施效果开展了绩效自评，并按要求及时将结果呈报中央主管部门。</w:t>
      </w:r>
      <w:r>
        <w:rPr>
          <w:rFonts w:hint="default" w:ascii="Times New Roman" w:hAnsi="Times New Roman" w:eastAsia="仿宋_GB2312" w:cs="Times New Roman"/>
          <w:b/>
          <w:bCs/>
          <w:snapToGrid w:val="0"/>
          <w:color w:val="auto"/>
          <w:sz w:val="32"/>
          <w:szCs w:val="32"/>
          <w:highlight w:val="none"/>
          <w:lang w:val="en-US" w:eastAsia="zh-CN"/>
        </w:rPr>
        <w:t>五是</w:t>
      </w:r>
      <w:r>
        <w:rPr>
          <w:rFonts w:hint="default" w:ascii="Times New Roman" w:hAnsi="Times New Roman" w:eastAsia="仿宋_GB2312" w:cs="Times New Roman"/>
          <w:b w:val="0"/>
          <w:bCs w:val="0"/>
          <w:snapToGrid w:val="0"/>
          <w:color w:val="auto"/>
          <w:sz w:val="32"/>
          <w:szCs w:val="32"/>
          <w:highlight w:val="none"/>
          <w:lang w:val="en-US" w:eastAsia="zh-CN"/>
        </w:rPr>
        <w:t>加强</w:t>
      </w:r>
      <w:r>
        <w:rPr>
          <w:rFonts w:hint="default" w:ascii="Times New Roman" w:hAnsi="Times New Roman" w:eastAsia="仿宋_GB2312" w:cs="Times New Roman"/>
          <w:snapToGrid w:val="0"/>
          <w:color w:val="auto"/>
          <w:sz w:val="32"/>
          <w:szCs w:val="32"/>
          <w:highlight w:val="none"/>
        </w:rPr>
        <w:t>绩效评价结果</w:t>
      </w:r>
      <w:r>
        <w:rPr>
          <w:rFonts w:hint="default" w:ascii="Times New Roman" w:hAnsi="Times New Roman" w:eastAsia="仿宋_GB2312" w:cs="Times New Roman"/>
          <w:snapToGrid w:val="0"/>
          <w:color w:val="auto"/>
          <w:sz w:val="32"/>
          <w:szCs w:val="32"/>
          <w:highlight w:val="none"/>
          <w:lang w:val="en-US" w:eastAsia="zh-CN"/>
        </w:rPr>
        <w:t>应用</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，工作促进作用明显</w:t>
      </w:r>
      <w:r>
        <w:rPr>
          <w:rFonts w:hint="default"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广东省计划生育中央转移支付年度绩效自评报告主动在省卫生健康委门户网站公开，自觉接受公众监督。总体上，我省预算绩效管理做到预算编制有目标、绩效运行有监控、项目结束有评价、评价结果有应用的全过程管理，中央下达的总体目标及指标全部如期实现，</w:t>
      </w:r>
      <w:r>
        <w:rPr>
          <w:rFonts w:hint="default" w:ascii="Times New Roman" w:hAnsi="Times New Roman" w:eastAsia="仿宋_GB2312" w:cs="Times New Roman"/>
          <w:snapToGrid w:val="0"/>
          <w:color w:val="auto"/>
          <w:sz w:val="32"/>
          <w:szCs w:val="32"/>
          <w:highlight w:val="none"/>
          <w:lang w:val="en-US" w:eastAsia="zh-CN"/>
        </w:rPr>
        <w:t>计划生育</w:t>
      </w:r>
      <w:r>
        <w:rPr>
          <w:rFonts w:hint="default" w:ascii="Times New Roman" w:hAnsi="Times New Roman" w:eastAsia="仿宋_GB2312" w:cs="Times New Roman"/>
          <w:snapToGrid w:val="0"/>
          <w:color w:val="auto"/>
          <w:sz w:val="32"/>
          <w:highlight w:val="none"/>
        </w:rPr>
        <w:t>家庭发展能力</w:t>
      </w:r>
      <w:r>
        <w:rPr>
          <w:rFonts w:hint="default" w:ascii="Times New Roman" w:hAnsi="Times New Roman" w:eastAsia="仿宋_GB2312" w:cs="Times New Roman"/>
          <w:snapToGrid w:val="0"/>
          <w:color w:val="auto"/>
          <w:sz w:val="32"/>
          <w:highlight w:val="none"/>
          <w:lang w:val="en-US" w:eastAsia="zh-CN"/>
        </w:rPr>
        <w:t>提升，</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服务对象满意度较高，</w:t>
      </w:r>
      <w:r>
        <w:rPr>
          <w:rFonts w:hint="default" w:ascii="Times New Roman" w:hAnsi="Times New Roman" w:eastAsia="仿宋_GB2312" w:cs="Times New Roman"/>
          <w:snapToGrid w:val="0"/>
          <w:color w:val="auto"/>
          <w:sz w:val="32"/>
          <w:highlight w:val="none"/>
        </w:rPr>
        <w:t>有效促进了社会和谐稳定</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7</w:t>
      </w:r>
      <w:r>
        <w:rPr>
          <w:rFonts w:hint="default" w:ascii="仿宋_GB2312" w:hAnsi="仿宋_GB2312" w:eastAsia="仿宋_GB2312" w:cs="仿宋_GB2312"/>
          <w:b/>
          <w:bCs/>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rPr>
        <w:t>支出责任履行情况。</w:t>
      </w:r>
      <w:r>
        <w:rPr>
          <w:rFonts w:hint="default" w:ascii="Times New Roman" w:hAnsi="Times New Roman" w:eastAsia="仿宋_GB2312" w:cs="Times New Roman"/>
          <w:b w:val="0"/>
          <w:bCs w:val="0"/>
          <w:snapToGrid w:val="0"/>
          <w:color w:val="auto"/>
          <w:sz w:val="32"/>
          <w:szCs w:val="32"/>
          <w:highlight w:val="none"/>
        </w:rPr>
        <w:t>对共同财政事权转移支付，</w:t>
      </w:r>
      <w:r>
        <w:rPr>
          <w:rFonts w:hint="default" w:ascii="Times New Roman" w:hAnsi="Times New Roman" w:eastAsia="仿宋_GB2312" w:cs="Times New Roman"/>
          <w:b w:val="0"/>
          <w:bCs w:val="0"/>
          <w:snapToGrid w:val="0"/>
          <w:color w:val="auto"/>
          <w:sz w:val="32"/>
          <w:szCs w:val="32"/>
          <w:highlight w:val="none"/>
          <w:lang w:val="en-US" w:eastAsia="zh-CN"/>
        </w:rPr>
        <w:t>我省严格按照《国务院办公厅关于印发医疗卫生领域中央与地方财政事权和支出责任划分改革方案的通知》（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val="en-US" w:eastAsia="zh-CN" w:bidi="ar"/>
        </w:rPr>
        <w:t>国办发〔2018〕67号）和《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等文件规定，</w:t>
      </w:r>
      <w:r>
        <w:rPr>
          <w:rFonts w:hint="default" w:ascii="Times New Roman" w:hAnsi="Times New Roman" w:eastAsia="仿宋_GB2312" w:cs="Times New Roman"/>
          <w:b w:val="0"/>
          <w:bCs w:val="0"/>
          <w:snapToGrid w:val="0"/>
          <w:color w:val="auto"/>
          <w:sz w:val="32"/>
          <w:szCs w:val="32"/>
          <w:highlight w:val="none"/>
          <w:lang w:val="en-US" w:eastAsia="zh-CN"/>
        </w:rPr>
        <w:t>严格履行</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我省各级财政部门安排2022年度计划生育配套资金合计81,973.26万元，其中</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省财政安排配套资金</w:t>
      </w:r>
      <w:r>
        <w:rPr>
          <w:rFonts w:hint="default" w:ascii="Times New Roman" w:hAnsi="Times New Roman" w:eastAsia="仿宋_GB2312" w:cs="Times New Roman"/>
          <w:snapToGrid w:val="0"/>
          <w:color w:val="auto"/>
          <w:spacing w:val="0"/>
          <w:kern w:val="0"/>
          <w:sz w:val="32"/>
          <w:szCs w:val="32"/>
          <w:highlight w:val="none"/>
          <w:lang w:val="en-US" w:eastAsia="zh-CN"/>
        </w:rPr>
        <w:t>31,857.36</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市财政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安排配套资金</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11,467.03万元、县财政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安排配套资金</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38,648.87万元，</w:t>
      </w:r>
      <w:r>
        <w:rPr>
          <w:rFonts w:hint="default" w:ascii="Times New Roman" w:hAnsi="Times New Roman" w:eastAsia="仿宋_GB2312" w:cs="Times New Roman"/>
          <w:snapToGrid w:val="0"/>
          <w:color w:val="auto"/>
          <w:spacing w:val="0"/>
          <w:kern w:val="0"/>
          <w:sz w:val="32"/>
          <w:szCs w:val="32"/>
          <w:highlight w:val="none"/>
          <w:lang w:val="en-US" w:eastAsia="zh-CN"/>
        </w:rPr>
        <w:t>截至2022年12月31日，</w:t>
      </w:r>
      <w:r>
        <w:rPr>
          <w:rFonts w:hint="default" w:ascii="Times New Roman" w:hAnsi="Times New Roman" w:eastAsia="仿宋_GB2312" w:cs="Times New Roman"/>
          <w:b w:val="0"/>
          <w:bCs w:val="0"/>
          <w:snapToGrid w:val="0"/>
          <w:color w:val="auto"/>
          <w:sz w:val="32"/>
          <w:szCs w:val="32"/>
          <w:highlight w:val="none"/>
          <w:lang w:val="en-US" w:eastAsia="zh-CN"/>
        </w:rPr>
        <w:t>配套</w:t>
      </w:r>
      <w:r>
        <w:rPr>
          <w:rFonts w:hint="default" w:ascii="Times New Roman" w:hAnsi="Times New Roman" w:eastAsia="仿宋_GB2312" w:cs="Times New Roman"/>
          <w:b w:val="0"/>
          <w:bCs w:val="0"/>
          <w:snapToGrid w:val="0"/>
          <w:color w:val="auto"/>
          <w:sz w:val="32"/>
          <w:szCs w:val="32"/>
          <w:highlight w:val="none"/>
        </w:rPr>
        <w:t>资金足额安排</w:t>
      </w:r>
      <w:r>
        <w:rPr>
          <w:rFonts w:hint="default" w:ascii="Times New Roman" w:hAnsi="Times New Roman" w:eastAsia="仿宋_GB2312" w:cs="Times New Roman"/>
          <w:b w:val="0"/>
          <w:bCs w:val="0"/>
          <w:snapToGrid w:val="0"/>
          <w:color w:val="auto"/>
          <w:sz w:val="32"/>
          <w:szCs w:val="32"/>
          <w:highlight w:val="none"/>
          <w:lang w:val="en-US" w:eastAsia="zh-CN"/>
        </w:rPr>
        <w:t>到位</w:t>
      </w:r>
      <w:r>
        <w:rPr>
          <w:rFonts w:hint="default" w:ascii="Times New Roman" w:hAnsi="Times New Roman" w:eastAsia="仿宋_GB2312" w:cs="Times New Roman"/>
          <w:b w:val="0"/>
          <w:bCs w:val="0"/>
          <w:snapToGrid w:val="0"/>
          <w:color w:val="auto"/>
          <w:kern w:val="0"/>
          <w:sz w:val="32"/>
          <w:szCs w:val="32"/>
          <w:highlight w:val="none"/>
          <w:lang w:val="en-US" w:eastAsia="zh-CN" w:bidi="ar"/>
        </w:rPr>
        <w:t>，切实履行与中央共同承担</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财政事权的</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（三）总体绩效目标完成情况分析。</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我省一以贯之重视计划生育</w:t>
      </w:r>
      <w:r>
        <w:rPr>
          <w:rFonts w:hint="default" w:ascii="Times New Roman" w:hAnsi="Times New Roman" w:eastAsia="仿宋_GB2312" w:cs="Times New Roman"/>
          <w:b w:val="0"/>
          <w:bCs w:val="0"/>
          <w:snapToGrid w:val="0"/>
          <w:color w:val="auto"/>
          <w:sz w:val="32"/>
          <w:szCs w:val="32"/>
          <w:highlight w:val="none"/>
          <w:lang w:eastAsia="zh-CN"/>
        </w:rPr>
        <w:t>工作，</w:t>
      </w:r>
      <w:r>
        <w:rPr>
          <w:rFonts w:hint="default" w:ascii="Times New Roman" w:hAnsi="Times New Roman" w:eastAsia="仿宋_GB2312" w:cs="Times New Roman"/>
          <w:snapToGrid w:val="0"/>
          <w:color w:val="auto"/>
          <w:sz w:val="32"/>
          <w:highlight w:val="none"/>
        </w:rPr>
        <w:t>不断修改完善有关计划生育家庭扶助制度，提高奖励扶助标准</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加强预算绩效管理工作</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2022年</w:t>
      </w:r>
      <w:r>
        <w:rPr>
          <w:rFonts w:hint="default" w:ascii="Times New Roman" w:hAnsi="Times New Roman" w:eastAsia="仿宋_GB2312" w:cs="Times New Roman"/>
          <w:b w:val="0"/>
          <w:bCs/>
          <w:i w:val="0"/>
          <w:caps w:val="0"/>
          <w:snapToGrid w:val="0"/>
          <w:color w:val="auto"/>
          <w:spacing w:val="0"/>
          <w:sz w:val="32"/>
          <w:szCs w:val="32"/>
          <w:highlight w:val="none"/>
        </w:rPr>
        <w:t>中央</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财政补助</w:t>
      </w:r>
      <w:r>
        <w:rPr>
          <w:rFonts w:hint="default" w:ascii="Times New Roman" w:hAnsi="Times New Roman" w:eastAsia="仿宋_GB2312" w:cs="Times New Roman"/>
          <w:snapToGrid w:val="0"/>
          <w:color w:val="auto"/>
          <w:sz w:val="32"/>
          <w:highlight w:val="none"/>
          <w:lang w:val="en-US" w:eastAsia="zh-CN"/>
        </w:rPr>
        <w:t>计划生育项目</w:t>
      </w:r>
      <w:r>
        <w:rPr>
          <w:rFonts w:hint="default" w:ascii="Times New Roman" w:hAnsi="Times New Roman" w:eastAsia="仿宋_GB2312" w:cs="Times New Roman"/>
          <w:b w:val="0"/>
          <w:bCs w:val="0"/>
          <w:snapToGrid w:val="0"/>
          <w:color w:val="auto"/>
          <w:sz w:val="32"/>
          <w:szCs w:val="32"/>
          <w:highlight w:val="none"/>
        </w:rPr>
        <w:t>总体绩效目标</w:t>
      </w:r>
      <w:r>
        <w:rPr>
          <w:rFonts w:hint="default" w:ascii="Times New Roman" w:hAnsi="Times New Roman" w:eastAsia="仿宋_GB2312" w:cs="Times New Roman"/>
          <w:b w:val="0"/>
          <w:bCs w:val="0"/>
          <w:snapToGrid w:val="0"/>
          <w:color w:val="auto"/>
          <w:sz w:val="32"/>
          <w:szCs w:val="32"/>
          <w:highlight w:val="none"/>
          <w:lang w:val="en-US" w:eastAsia="zh-CN"/>
        </w:rPr>
        <w:t>任务和绩效指标全部完成，</w:t>
      </w:r>
      <w:r>
        <w:rPr>
          <w:rFonts w:hint="default" w:ascii="Times New Roman" w:hAnsi="Times New Roman" w:eastAsia="仿宋_GB2312" w:cs="Times New Roman"/>
          <w:snapToGrid w:val="0"/>
          <w:color w:val="auto"/>
          <w:sz w:val="32"/>
          <w:highlight w:val="none"/>
        </w:rPr>
        <w:t>农村部分计划生育家庭奖励扶助制度</w:t>
      </w:r>
      <w:r>
        <w:rPr>
          <w:rFonts w:hint="default" w:ascii="Times New Roman" w:hAnsi="Times New Roman" w:eastAsia="仿宋_GB2312" w:cs="Times New Roman"/>
          <w:snapToGrid w:val="0"/>
          <w:color w:val="auto"/>
          <w:sz w:val="32"/>
          <w:highlight w:val="none"/>
          <w:lang w:val="en-US" w:eastAsia="zh-CN"/>
        </w:rPr>
        <w:t>和</w:t>
      </w:r>
      <w:r>
        <w:rPr>
          <w:rFonts w:hint="default" w:ascii="Times New Roman" w:hAnsi="Times New Roman" w:eastAsia="仿宋_GB2312" w:cs="Times New Roman"/>
          <w:snapToGrid w:val="0"/>
          <w:color w:val="auto"/>
          <w:sz w:val="32"/>
          <w:highlight w:val="none"/>
        </w:rPr>
        <w:t>计划生育家庭特别扶助制度</w:t>
      </w:r>
      <w:r>
        <w:rPr>
          <w:rFonts w:hint="default" w:ascii="Times New Roman" w:hAnsi="Times New Roman" w:eastAsia="仿宋_GB2312" w:cs="Times New Roman"/>
          <w:b w:val="0"/>
          <w:bCs w:val="0"/>
          <w:snapToGrid w:val="0"/>
          <w:color w:val="auto"/>
          <w:sz w:val="32"/>
          <w:szCs w:val="32"/>
          <w:highlight w:val="none"/>
          <w:lang w:val="en-US" w:eastAsia="zh-CN"/>
        </w:rPr>
        <w:t>补助</w:t>
      </w:r>
      <w:r>
        <w:rPr>
          <w:rFonts w:hint="default" w:ascii="Times New Roman" w:hAnsi="Times New Roman" w:eastAsia="仿宋_GB2312" w:cs="Times New Roman"/>
          <w:snapToGrid w:val="0"/>
          <w:color w:val="auto"/>
          <w:sz w:val="32"/>
          <w:highlight w:val="none"/>
          <w:lang w:val="en-US" w:eastAsia="zh-CN"/>
        </w:rPr>
        <w:t>资金</w:t>
      </w:r>
      <w:r>
        <w:rPr>
          <w:rFonts w:hint="default" w:ascii="Times New Roman" w:hAnsi="Times New Roman" w:eastAsia="仿宋_GB2312" w:cs="Times New Roman"/>
          <w:snapToGrid w:val="0"/>
          <w:color w:val="auto"/>
          <w:sz w:val="32"/>
          <w:highlight w:val="none"/>
        </w:rPr>
        <w:t>发放率</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到位率、及时性均达到100%</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补助资金的</w:t>
      </w:r>
      <w:r>
        <w:rPr>
          <w:rFonts w:hint="default" w:ascii="Times New Roman" w:hAnsi="Times New Roman" w:eastAsia="仿宋_GB2312" w:cs="Times New Roman"/>
          <w:snapToGrid w:val="0"/>
          <w:color w:val="auto"/>
          <w:sz w:val="32"/>
          <w:highlight w:val="none"/>
          <w:lang w:val="en-US" w:eastAsia="zh-CN"/>
        </w:rPr>
        <w:t>足额发放</w:t>
      </w:r>
      <w:r>
        <w:rPr>
          <w:rFonts w:hint="default" w:ascii="Times New Roman" w:hAnsi="Times New Roman" w:eastAsia="仿宋_GB2312" w:cs="Times New Roman"/>
          <w:b w:val="0"/>
          <w:bCs w:val="0"/>
          <w:snapToGrid w:val="0"/>
          <w:color w:val="auto"/>
          <w:sz w:val="32"/>
          <w:szCs w:val="32"/>
          <w:highlight w:val="none"/>
          <w:lang w:val="en-US" w:eastAsia="zh-CN"/>
        </w:rPr>
        <w:t>足额到位</w:t>
      </w:r>
      <w:r>
        <w:rPr>
          <w:rFonts w:hint="default" w:ascii="Times New Roman" w:hAnsi="Times New Roman" w:eastAsia="仿宋_GB2312" w:cs="Times New Roman"/>
          <w:snapToGrid w:val="0"/>
          <w:color w:val="auto"/>
          <w:sz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让全省</w:t>
      </w:r>
      <w:r>
        <w:rPr>
          <w:rFonts w:hint="eastAsia" w:ascii="Times New Roman" w:hAnsi="Times New Roman" w:cs="Times New Roman"/>
          <w:snapToGrid w:val="0"/>
          <w:color w:val="auto"/>
          <w:sz w:val="32"/>
          <w:szCs w:val="32"/>
          <w:highlight w:val="none"/>
          <w:lang w:val="en-US" w:eastAsia="zh-CN"/>
        </w:rPr>
        <w:t>众多</w:t>
      </w:r>
      <w:r>
        <w:rPr>
          <w:rFonts w:hint="default" w:ascii="Times New Roman" w:hAnsi="Times New Roman" w:eastAsia="仿宋_GB2312" w:cs="Times New Roman"/>
          <w:snapToGrid w:val="0"/>
          <w:color w:val="auto"/>
          <w:sz w:val="32"/>
          <w:szCs w:val="32"/>
          <w:highlight w:val="none"/>
        </w:rPr>
        <w:t>群众受益</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highlight w:val="none"/>
        </w:rPr>
        <w:t>较好缓解了</w:t>
      </w:r>
      <w:r>
        <w:rPr>
          <w:rFonts w:hint="default" w:ascii="Times New Roman" w:hAnsi="Times New Roman" w:eastAsia="仿宋_GB2312" w:cs="Times New Roman"/>
          <w:snapToGrid w:val="0"/>
          <w:color w:val="auto"/>
          <w:sz w:val="32"/>
          <w:szCs w:val="32"/>
          <w:highlight w:val="none"/>
          <w:lang w:val="en-US" w:eastAsia="zh-CN"/>
        </w:rPr>
        <w:t>计划生育家庭</w:t>
      </w:r>
      <w:r>
        <w:rPr>
          <w:rFonts w:hint="default" w:ascii="Times New Roman" w:hAnsi="Times New Roman" w:eastAsia="仿宋_GB2312" w:cs="Times New Roman"/>
          <w:snapToGrid w:val="0"/>
          <w:color w:val="auto"/>
          <w:sz w:val="32"/>
          <w:highlight w:val="none"/>
        </w:rPr>
        <w:t>在生产、生活、医疗和养老等方面面临的特殊困难，</w:t>
      </w:r>
      <w:r>
        <w:rPr>
          <w:rFonts w:hint="default" w:ascii="Times New Roman" w:hAnsi="Times New Roman" w:eastAsia="仿宋_GB2312" w:cs="Times New Roman"/>
          <w:snapToGrid w:val="0"/>
          <w:color w:val="auto"/>
          <w:sz w:val="32"/>
          <w:szCs w:val="32"/>
          <w:highlight w:val="none"/>
          <w:lang w:val="en-US" w:eastAsia="zh-CN"/>
        </w:rPr>
        <w:t>计划生育</w:t>
      </w:r>
      <w:r>
        <w:rPr>
          <w:rFonts w:hint="default" w:ascii="Times New Roman" w:hAnsi="Times New Roman" w:eastAsia="仿宋_GB2312" w:cs="Times New Roman"/>
          <w:snapToGrid w:val="0"/>
          <w:color w:val="auto"/>
          <w:sz w:val="32"/>
          <w:highlight w:val="none"/>
        </w:rPr>
        <w:t>家庭发展能力</w:t>
      </w:r>
      <w:r>
        <w:rPr>
          <w:rFonts w:hint="default" w:ascii="Times New Roman" w:hAnsi="Times New Roman" w:eastAsia="仿宋_GB2312" w:cs="Times New Roman"/>
          <w:snapToGrid w:val="0"/>
          <w:color w:val="auto"/>
          <w:sz w:val="32"/>
          <w:highlight w:val="none"/>
          <w:lang w:val="en-US" w:eastAsia="zh-CN"/>
        </w:rPr>
        <w:t>提升，</w:t>
      </w:r>
      <w:r>
        <w:rPr>
          <w:rFonts w:hint="default" w:ascii="Times New Roman" w:hAnsi="Times New Roman" w:eastAsia="仿宋_GB2312" w:cs="Times New Roman"/>
          <w:snapToGrid w:val="0"/>
          <w:color w:val="auto"/>
          <w:sz w:val="32"/>
          <w:highlight w:val="none"/>
        </w:rPr>
        <w:t>有效促进了社会和谐稳定</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人口和计划生育基本国策</w:t>
      </w:r>
      <w:r>
        <w:rPr>
          <w:rFonts w:hint="default" w:ascii="Times New Roman" w:hAnsi="Times New Roman" w:eastAsia="仿宋_GB2312" w:cs="Times New Roman"/>
          <w:snapToGrid w:val="0"/>
          <w:color w:val="auto"/>
          <w:sz w:val="32"/>
          <w:highlight w:val="none"/>
          <w:lang w:val="en-US" w:eastAsia="zh-CN"/>
        </w:rPr>
        <w:t>有效落实</w:t>
      </w:r>
      <w:r>
        <w:rPr>
          <w:rFonts w:hint="default" w:ascii="Times New Roman" w:hAnsi="Times New Roman" w:eastAsia="仿宋_GB2312" w:cs="Times New Roman"/>
          <w:snapToGrid w:val="0"/>
          <w:color w:val="auto"/>
          <w:sz w:val="32"/>
          <w:highlight w:val="none"/>
        </w:rPr>
        <w:t>。</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仿宋_GB2312" w:hAnsi="仿宋_GB2312" w:eastAsia="仿宋_GB2312" w:cs="仿宋_GB2312"/>
          <w:b/>
          <w:bCs/>
          <w:snapToGrid w:val="0"/>
          <w:color w:val="auto"/>
          <w:sz w:val="32"/>
          <w:szCs w:val="32"/>
          <w:highlight w:val="none"/>
          <w:lang w:val="en-US" w:eastAsia="zh-CN"/>
        </w:rPr>
        <w:t>.有</w:t>
      </w:r>
      <w:r>
        <w:rPr>
          <w:rFonts w:hint="default" w:ascii="Times New Roman" w:hAnsi="Times New Roman" w:eastAsia="仿宋_GB2312" w:cs="Times New Roman"/>
          <w:b/>
          <w:bCs/>
          <w:snapToGrid w:val="0"/>
          <w:color w:val="auto"/>
          <w:sz w:val="32"/>
          <w:szCs w:val="32"/>
          <w:highlight w:val="none"/>
          <w:lang w:val="en-US" w:eastAsia="zh-CN"/>
        </w:rPr>
        <w:t>效</w:t>
      </w:r>
      <w:r>
        <w:rPr>
          <w:rFonts w:hint="default" w:ascii="Times New Roman" w:hAnsi="Times New Roman" w:eastAsia="仿宋_GB2312" w:cs="Times New Roman"/>
          <w:b/>
          <w:bCs/>
          <w:snapToGrid w:val="0"/>
          <w:color w:val="auto"/>
          <w:sz w:val="32"/>
          <w:highlight w:val="none"/>
        </w:rPr>
        <w:t>缓解扶助对象在生产、生活、医疗和养老等方面的困难，家庭发展能力提升</w:t>
      </w:r>
      <w:r>
        <w:rPr>
          <w:rFonts w:hint="default" w:ascii="Times New Roman" w:hAnsi="Times New Roman" w:eastAsia="仿宋_GB2312" w:cs="Times New Roman"/>
          <w:b/>
          <w:bCs/>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随着时间的推移，独生子女因病或意外伤残死亡的家庭逐渐增多，在生活保障、养老照料、大病医疗、精神慰藉等方面遇到了一些特殊困难。我</w:t>
      </w:r>
      <w:r>
        <w:rPr>
          <w:rFonts w:hint="default" w:ascii="Times New Roman" w:hAnsi="Times New Roman" w:eastAsia="仿宋_GB2312" w:cs="Times New Roman"/>
          <w:snapToGrid w:val="0"/>
          <w:color w:val="auto"/>
          <w:sz w:val="32"/>
          <w:highlight w:val="none"/>
          <w:lang w:val="en-US" w:eastAsia="zh-CN"/>
        </w:rPr>
        <w:t>省</w:t>
      </w:r>
      <w:r>
        <w:rPr>
          <w:rFonts w:hint="default" w:ascii="Times New Roman" w:hAnsi="Times New Roman" w:eastAsia="仿宋_GB2312" w:cs="Times New Roman"/>
          <w:snapToGrid w:val="0"/>
          <w:color w:val="auto"/>
          <w:sz w:val="32"/>
          <w:highlight w:val="none"/>
        </w:rPr>
        <w:t>对此高度重视，积极采取措施，综合运用经济扶助、养老保障和医疗保障等</w:t>
      </w:r>
      <w:r>
        <w:rPr>
          <w:rFonts w:hint="default" w:ascii="Times New Roman" w:hAnsi="Times New Roman" w:eastAsia="仿宋_GB2312" w:cs="Times New Roman"/>
          <w:snapToGrid w:val="0"/>
          <w:color w:val="auto"/>
          <w:sz w:val="32"/>
          <w:highlight w:val="none"/>
          <w:lang w:val="en-US" w:eastAsia="zh-CN"/>
        </w:rPr>
        <w:t>措施</w:t>
      </w:r>
      <w:r>
        <w:rPr>
          <w:rFonts w:hint="default" w:ascii="Times New Roman" w:hAnsi="Times New Roman" w:eastAsia="仿宋_GB2312" w:cs="Times New Roman"/>
          <w:snapToGrid w:val="0"/>
          <w:color w:val="auto"/>
          <w:sz w:val="32"/>
          <w:highlight w:val="none"/>
        </w:rPr>
        <w:t>，加大对计划生育特殊家庭的扶助力度，认真落实档案信息和联系人制度、家庭医生签约和优先便利医疗服务全覆盖，为计划生育特殊家庭成员提供家庭医生、免费体检、绿色就医、辅助再生育、困难帮扶、心理关怀、志愿帮扶、优先收养、优先养老入住、发放扶助金等服务</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各地还积极实施“党建引领关怀失独”“爱·相随”“日常无忧”等帮扶项目，解决计划生育家庭的一些实际困难，生活上得到部分保障，计划生育家庭生活压力有所缓解，家庭素养和健康水平有所提高，促进了计划生育家庭的可持续发展。</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2</w:t>
      </w:r>
      <w:r>
        <w:rPr>
          <w:rFonts w:hint="default" w:ascii="仿宋_GB2312" w:hAnsi="仿宋_GB2312" w:eastAsia="仿宋_GB2312" w:cs="仿宋_GB2312"/>
          <w:b/>
          <w:bCs/>
          <w:snapToGrid w:val="0"/>
          <w:color w:val="auto"/>
          <w:sz w:val="32"/>
          <w:szCs w:val="32"/>
          <w:highlight w:val="none"/>
          <w:lang w:val="en-US" w:eastAsia="zh-CN"/>
        </w:rPr>
        <w:t>.有</w:t>
      </w:r>
      <w:r>
        <w:rPr>
          <w:rFonts w:hint="default" w:ascii="Times New Roman" w:hAnsi="Times New Roman" w:eastAsia="仿宋_GB2312" w:cs="Times New Roman"/>
          <w:b/>
          <w:bCs/>
          <w:snapToGrid w:val="0"/>
          <w:color w:val="auto"/>
          <w:sz w:val="32"/>
          <w:highlight w:val="none"/>
        </w:rPr>
        <w:t>效促进社会和谐稳定</w:t>
      </w:r>
      <w:r>
        <w:rPr>
          <w:rFonts w:hint="default" w:ascii="Times New Roman" w:hAnsi="Times New Roman" w:eastAsia="仿宋_GB2312" w:cs="Times New Roman"/>
          <w:snapToGrid w:val="0"/>
          <w:color w:val="auto"/>
          <w:sz w:val="32"/>
          <w:highlight w:val="none"/>
        </w:rPr>
        <w:t>。建立和实施计划生育家庭奖励扶助制度，是人口和计划生育政策的完善和发展，是全面落实习近平新时代中国特色理论，促进和谐社会建设的具体实践。</w:t>
      </w:r>
      <w:r>
        <w:rPr>
          <w:rFonts w:hint="default" w:ascii="Times New Roman" w:hAnsi="Times New Roman" w:eastAsia="仿宋_GB2312" w:cs="Times New Roman"/>
          <w:b/>
          <w:bCs/>
          <w:snapToGrid w:val="0"/>
          <w:color w:val="auto"/>
          <w:sz w:val="32"/>
          <w:highlight w:val="none"/>
          <w:lang w:val="en-US" w:eastAsia="zh-CN"/>
        </w:rPr>
        <w:t>一是</w:t>
      </w:r>
      <w:r>
        <w:rPr>
          <w:rFonts w:hint="default" w:ascii="Times New Roman" w:hAnsi="Times New Roman" w:eastAsia="仿宋_GB2312" w:cs="Times New Roman"/>
          <w:snapToGrid w:val="0"/>
          <w:color w:val="auto"/>
          <w:sz w:val="32"/>
          <w:highlight w:val="none"/>
        </w:rPr>
        <w:t>每年年初，</w:t>
      </w:r>
      <w:r>
        <w:rPr>
          <w:rFonts w:hint="default" w:ascii="Times New Roman" w:hAnsi="Times New Roman" w:eastAsia="仿宋_GB2312" w:cs="Times New Roman"/>
          <w:snapToGrid w:val="0"/>
          <w:color w:val="auto"/>
          <w:sz w:val="32"/>
          <w:highlight w:val="none"/>
          <w:lang w:eastAsia="zh-CN"/>
        </w:rPr>
        <w:t>我省</w:t>
      </w:r>
      <w:r>
        <w:rPr>
          <w:rFonts w:hint="default" w:ascii="Times New Roman" w:hAnsi="Times New Roman" w:eastAsia="仿宋_GB2312" w:cs="Times New Roman"/>
          <w:snapToGrid w:val="0"/>
          <w:color w:val="auto"/>
          <w:sz w:val="32"/>
          <w:highlight w:val="none"/>
        </w:rPr>
        <w:t>组织系统技术支持单位筛选符合农村部分计划生育家庭奖励制度和计划生育家庭特别扶助制度的人员名单，下发至全省各地级以上市进行核实完善后上报</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确保数据准确，不漏一人，将</w:t>
      </w:r>
      <w:r>
        <w:rPr>
          <w:rFonts w:hint="default" w:ascii="Times New Roman" w:hAnsi="Times New Roman" w:eastAsia="仿宋_GB2312" w:cs="Times New Roman"/>
          <w:snapToGrid w:val="0"/>
          <w:color w:val="auto"/>
          <w:sz w:val="32"/>
          <w:highlight w:val="none"/>
        </w:rPr>
        <w:t>党和政府对广大计划生育家庭的关怀</w:t>
      </w:r>
      <w:r>
        <w:rPr>
          <w:rFonts w:hint="default" w:ascii="Times New Roman" w:hAnsi="Times New Roman" w:eastAsia="仿宋_GB2312" w:cs="Times New Roman"/>
          <w:snapToGrid w:val="0"/>
          <w:color w:val="auto"/>
          <w:sz w:val="32"/>
          <w:highlight w:val="none"/>
          <w:lang w:val="en-US" w:eastAsia="zh-CN"/>
        </w:rPr>
        <w:t>落实到位</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充分体现人口和计划生育工作以人为本的理念，在很大程度上减少了可引发社会不稳定的因素，为健康广东做出了贡献。</w:t>
      </w:r>
      <w:r>
        <w:rPr>
          <w:rFonts w:hint="default" w:ascii="Times New Roman" w:hAnsi="Times New Roman" w:eastAsia="仿宋_GB2312" w:cs="Times New Roman"/>
          <w:b/>
          <w:bCs/>
          <w:snapToGrid w:val="0"/>
          <w:color w:val="auto"/>
          <w:sz w:val="32"/>
          <w:highlight w:val="none"/>
          <w:lang w:val="en-US" w:eastAsia="zh-CN"/>
        </w:rPr>
        <w:t>二是</w:t>
      </w:r>
      <w:r>
        <w:rPr>
          <w:rFonts w:hint="default" w:ascii="Times New Roman" w:hAnsi="Times New Roman" w:eastAsia="仿宋_GB2312" w:cs="Times New Roman"/>
          <w:snapToGrid w:val="0"/>
          <w:color w:val="auto"/>
          <w:sz w:val="32"/>
          <w:highlight w:val="none"/>
        </w:rPr>
        <w:t>扩大社会保障覆盖面</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按照国家的部署要求，我省认真落实农村部分计划生育家庭奖励扶助制度，各级</w:t>
      </w:r>
      <w:r>
        <w:rPr>
          <w:rFonts w:hint="default" w:ascii="Times New Roman" w:hAnsi="Times New Roman" w:eastAsia="仿宋_GB2312" w:cs="Times New Roman"/>
          <w:snapToGrid w:val="0"/>
          <w:color w:val="auto"/>
          <w:sz w:val="32"/>
          <w:highlight w:val="none"/>
          <w:lang w:val="en-US" w:eastAsia="zh-CN"/>
        </w:rPr>
        <w:t>政府积极</w:t>
      </w:r>
      <w:r>
        <w:rPr>
          <w:rFonts w:hint="default" w:ascii="Times New Roman" w:hAnsi="Times New Roman" w:eastAsia="仿宋_GB2312" w:cs="Times New Roman"/>
          <w:snapToGrid w:val="0"/>
          <w:color w:val="auto"/>
          <w:sz w:val="32"/>
          <w:highlight w:val="none"/>
        </w:rPr>
        <w:t>落实配套资金，确保资金全额到位和及时发放，有效缓解农村只有一个子女或两个女孩的计划生育家庭面临的特殊困难，增强</w:t>
      </w:r>
      <w:r>
        <w:rPr>
          <w:rFonts w:hint="default" w:ascii="Times New Roman" w:hAnsi="Times New Roman" w:eastAsia="仿宋_GB2312" w:cs="Times New Roman"/>
          <w:snapToGrid w:val="0"/>
          <w:color w:val="auto"/>
          <w:sz w:val="32"/>
          <w:highlight w:val="none"/>
          <w:lang w:val="en-US" w:eastAsia="zh-CN"/>
        </w:rPr>
        <w:t>补助人员</w:t>
      </w:r>
      <w:r>
        <w:rPr>
          <w:rFonts w:hint="default" w:ascii="Times New Roman" w:hAnsi="Times New Roman" w:eastAsia="仿宋_GB2312" w:cs="Times New Roman"/>
          <w:snapToGrid w:val="0"/>
          <w:color w:val="auto"/>
          <w:sz w:val="32"/>
          <w:highlight w:val="none"/>
        </w:rPr>
        <w:t>幸福感、获得感。</w:t>
      </w:r>
      <w:r>
        <w:rPr>
          <w:rFonts w:hint="default" w:ascii="Times New Roman" w:hAnsi="Times New Roman" w:eastAsia="仿宋_GB2312" w:cs="Times New Roman"/>
          <w:snapToGrid w:val="0"/>
          <w:color w:val="auto"/>
          <w:sz w:val="32"/>
          <w:highlight w:val="none"/>
          <w:lang w:val="en-US" w:eastAsia="zh-CN"/>
        </w:rPr>
        <w:t>同时。</w:t>
      </w:r>
      <w:r>
        <w:rPr>
          <w:rFonts w:hint="default" w:ascii="Times New Roman" w:hAnsi="Times New Roman" w:eastAsia="仿宋_GB2312" w:cs="Times New Roman"/>
          <w:snapToGrid w:val="0"/>
          <w:color w:val="auto"/>
          <w:sz w:val="32"/>
          <w:highlight w:val="none"/>
        </w:rPr>
        <w:t>针对近年来群众信访突出问题，经深入调研，多方协调，</w:t>
      </w:r>
      <w:r>
        <w:rPr>
          <w:rFonts w:hint="default" w:ascii="Times New Roman" w:hAnsi="Times New Roman" w:eastAsia="仿宋_GB2312" w:cs="Times New Roman"/>
          <w:snapToGrid w:val="0"/>
          <w:color w:val="auto"/>
          <w:sz w:val="32"/>
          <w:highlight w:val="none"/>
          <w:lang w:val="en-US" w:eastAsia="zh-CN"/>
        </w:rPr>
        <w:t>省卫生健康</w:t>
      </w:r>
      <w:r>
        <w:rPr>
          <w:rFonts w:hint="default" w:ascii="Times New Roman" w:hAnsi="Times New Roman" w:eastAsia="仿宋_GB2312" w:cs="Times New Roman"/>
          <w:snapToGrid w:val="0"/>
          <w:color w:val="auto"/>
          <w:sz w:val="32"/>
          <w:highlight w:val="none"/>
        </w:rPr>
        <w:t>委联合省财政厅印发了《关于对广东省有关计划生育奖励扶助制度补充规定的通知》（粤卫规〔2021〕3号），在全国率先让计划生育特殊家庭叠加享受特别扶助和独生子女奖励，并将城镇居民中因婚姻发生变故的“单边户”也纳入奖励，适当扩大奖励范围，2022年度受益群众达</w:t>
      </w:r>
      <w:r>
        <w:rPr>
          <w:rFonts w:hint="default" w:ascii="Times New Roman" w:hAnsi="Times New Roman" w:eastAsia="仿宋_GB2312" w:cs="Times New Roman"/>
          <w:snapToGrid w:val="0"/>
          <w:color w:val="auto"/>
          <w:sz w:val="32"/>
          <w:highlight w:val="none"/>
          <w:lang w:val="en-US"/>
        </w:rPr>
        <w:t>3.3</w:t>
      </w:r>
      <w:r>
        <w:rPr>
          <w:rFonts w:hint="default" w:ascii="Times New Roman" w:hAnsi="Times New Roman" w:eastAsia="仿宋_GB2312" w:cs="Times New Roman"/>
          <w:snapToGrid w:val="0"/>
          <w:color w:val="auto"/>
          <w:sz w:val="32"/>
          <w:highlight w:val="none"/>
        </w:rPr>
        <w:t>万人，全省各级财政每年新增投放5000多万</w:t>
      </w:r>
      <w:r>
        <w:rPr>
          <w:rFonts w:hint="default" w:ascii="Times New Roman" w:hAnsi="Times New Roman" w:eastAsia="仿宋_GB2312" w:cs="Times New Roman"/>
          <w:snapToGrid w:val="0"/>
          <w:color w:val="auto"/>
          <w:sz w:val="32"/>
          <w:highlight w:val="none"/>
          <w:lang w:val="en-US" w:eastAsia="zh-CN"/>
        </w:rPr>
        <w:t>元</w:t>
      </w:r>
      <w:r>
        <w:rPr>
          <w:rFonts w:hint="default" w:ascii="Times New Roman" w:hAnsi="Times New Roman" w:eastAsia="仿宋_GB2312" w:cs="Times New Roman"/>
          <w:snapToGrid w:val="0"/>
          <w:color w:val="auto"/>
          <w:sz w:val="32"/>
          <w:highlight w:val="none"/>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（四）绩效指标完成情况分析。</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eastAsia" w:ascii="Times New Roman" w:hAnsi="Times New Roman" w:eastAsia="仿宋_GB2312" w:cs="Times New Roman"/>
          <w:b/>
          <w:bCs/>
          <w:snapToGrid w:val="0"/>
          <w:color w:val="auto"/>
          <w:sz w:val="32"/>
          <w:highlight w:val="none"/>
          <w:lang w:val="en-US" w:eastAsia="zh-CN"/>
        </w:rPr>
      </w:pPr>
      <w:r>
        <w:rPr>
          <w:rFonts w:hint="default" w:ascii="Times New Roman" w:hAnsi="Times New Roman" w:eastAsia="仿宋_GB2312" w:cs="Times New Roman"/>
          <w:b/>
          <w:bCs/>
          <w:snapToGrid w:val="0"/>
          <w:color w:val="auto"/>
          <w:sz w:val="32"/>
          <w:highlight w:val="none"/>
          <w:lang w:val="en-US" w:eastAsia="zh-CN"/>
        </w:rPr>
        <w:t>1</w:t>
      </w:r>
      <w:r>
        <w:rPr>
          <w:rFonts w:hint="default" w:ascii="仿宋_GB2312" w:hAnsi="仿宋_GB2312" w:eastAsia="仿宋_GB2312" w:cs="仿宋_GB2312"/>
          <w:b/>
          <w:bCs/>
          <w:snapToGrid w:val="0"/>
          <w:color w:val="auto"/>
          <w:kern w:val="0"/>
          <w:sz w:val="32"/>
          <w:szCs w:val="32"/>
          <w:highlight w:val="none"/>
          <w:lang w:val="en-US" w:eastAsia="zh-CN"/>
        </w:rPr>
        <w:t>.产出</w:t>
      </w:r>
      <w:r>
        <w:rPr>
          <w:rFonts w:hint="default" w:ascii="Times New Roman" w:hAnsi="Times New Roman" w:eastAsia="仿宋_GB2312" w:cs="Times New Roman"/>
          <w:b/>
          <w:bCs/>
          <w:snapToGrid w:val="0"/>
          <w:color w:val="auto"/>
          <w:sz w:val="32"/>
          <w:highlight w:val="none"/>
        </w:rPr>
        <w:t>分析</w:t>
      </w:r>
      <w:r>
        <w:rPr>
          <w:rFonts w:hint="eastAsia" w:ascii="Times New Roman" w:hAnsi="Times New Roman" w:cs="Times New Roman"/>
          <w:b/>
          <w:bCs/>
          <w:snapToGrid w:val="0"/>
          <w:color w:val="auto"/>
          <w:sz w:val="32"/>
          <w:highlight w:val="none"/>
          <w:lang w:eastAsia="zh-CN"/>
        </w:rPr>
        <w:t>。</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bCs/>
          <w:snapToGrid w:val="0"/>
          <w:color w:val="auto"/>
          <w:sz w:val="32"/>
          <w:highlight w:val="none"/>
          <w:lang w:val="en-US" w:eastAsia="zh-CN"/>
        </w:rPr>
        <w:t>指标1</w:t>
      </w:r>
      <w:r>
        <w:rPr>
          <w:rFonts w:hint="default" w:ascii="Times New Roman" w:hAnsi="Times New Roman" w:eastAsia="仿宋_GB2312" w:cs="Times New Roman"/>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奖励农村部分计划生育家庭对象。2022年度中央下达任务数192523人，全省全年实际奖励216300人</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实现预期目标。</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2</w:t>
      </w:r>
      <w:r>
        <w:rPr>
          <w:rFonts w:hint="default" w:ascii="Times New Roman" w:hAnsi="Times New Roman" w:eastAsia="仿宋_GB2312" w:cs="Times New Roman"/>
          <w:b/>
          <w:bCs/>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符合条件申报对象覆盖率。</w:t>
      </w:r>
      <w:r>
        <w:rPr>
          <w:rFonts w:hint="eastAsia" w:ascii="Times New Roman" w:hAnsi="Times New Roman" w:cs="Times New Roman"/>
          <w:snapToGrid w:val="0"/>
          <w:color w:val="auto"/>
          <w:sz w:val="32"/>
          <w:highlight w:val="none"/>
          <w:lang w:val="en-US" w:eastAsia="zh-CN"/>
        </w:rPr>
        <w:t>2022年全省实际覆盖符合条件申报对象人数已超过</w:t>
      </w:r>
      <w:r>
        <w:rPr>
          <w:rFonts w:hint="default" w:ascii="Times New Roman" w:hAnsi="Times New Roman" w:eastAsia="仿宋_GB2312" w:cs="Times New Roman"/>
          <w:snapToGrid w:val="0"/>
          <w:color w:val="auto"/>
          <w:sz w:val="32"/>
          <w:highlight w:val="none"/>
        </w:rPr>
        <w:t>符合条件申报对象</w:t>
      </w:r>
      <w:r>
        <w:rPr>
          <w:rFonts w:hint="eastAsia" w:ascii="Times New Roman" w:hAnsi="Times New Roman" w:cs="Times New Roman"/>
          <w:snapToGrid w:val="0"/>
          <w:color w:val="auto"/>
          <w:sz w:val="32"/>
          <w:highlight w:val="none"/>
          <w:lang w:val="en-US" w:eastAsia="zh-CN"/>
        </w:rPr>
        <w:t>人数</w:t>
      </w:r>
      <w:r>
        <w:rPr>
          <w:rFonts w:hint="default" w:ascii="Times New Roman" w:hAnsi="Times New Roman" w:eastAsia="仿宋_GB2312" w:cs="Times New Roman"/>
          <w:snapToGrid w:val="0"/>
          <w:color w:val="auto"/>
          <w:sz w:val="32"/>
          <w:highlight w:val="none"/>
        </w:rPr>
        <w:t>，符合条件申报对象覆盖率超过100%</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实现预期目标（</w:t>
      </w:r>
      <w:r>
        <w:rPr>
          <w:rFonts w:hint="default" w:ascii="Times New Roman" w:hAnsi="Times New Roman" w:eastAsia="仿宋_GB2312" w:cs="Times New Roman"/>
          <w:snapToGrid w:val="0"/>
          <w:color w:val="auto"/>
          <w:sz w:val="32"/>
          <w:highlight w:val="none"/>
        </w:rPr>
        <w:t>100%</w:t>
      </w:r>
      <w:r>
        <w:rPr>
          <w:rFonts w:hint="default" w:ascii="Times New Roman" w:hAnsi="Times New Roman" w:eastAsia="仿宋_GB2312" w:cs="Times New Roman"/>
          <w:snapToGrid w:val="0"/>
          <w:color w:val="auto"/>
          <w:sz w:val="32"/>
          <w:highlight w:val="none"/>
          <w:lang w:val="en-US" w:eastAsia="zh-CN"/>
        </w:rPr>
        <w:t>）。</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3</w:t>
      </w:r>
      <w:r>
        <w:rPr>
          <w:rFonts w:hint="default" w:ascii="Times New Roman" w:hAnsi="Times New Roman" w:eastAsia="仿宋_GB2312" w:cs="Times New Roman"/>
          <w:b/>
          <w:bCs/>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奖励和扶助资金到位率。2022年</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全省已完成        符合条件的奖励扶助对象的奖励扶助金发放，资金发放率和到位率均达到100%</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实现预期目标（</w:t>
      </w:r>
      <w:r>
        <w:rPr>
          <w:rFonts w:hint="default" w:ascii="Times New Roman" w:hAnsi="Times New Roman" w:eastAsia="仿宋_GB2312" w:cs="Times New Roman"/>
          <w:snapToGrid w:val="0"/>
          <w:color w:val="auto"/>
          <w:sz w:val="32"/>
          <w:highlight w:val="none"/>
        </w:rPr>
        <w:t>100%</w:t>
      </w:r>
      <w:r>
        <w:rPr>
          <w:rFonts w:hint="default" w:ascii="Times New Roman" w:hAnsi="Times New Roman" w:eastAsia="仿宋_GB2312" w:cs="Times New Roman"/>
          <w:snapToGrid w:val="0"/>
          <w:color w:val="auto"/>
          <w:sz w:val="32"/>
          <w:highlight w:val="none"/>
          <w:lang w:val="en-US" w:eastAsia="zh-CN"/>
        </w:rPr>
        <w:t>）。</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4</w:t>
      </w:r>
      <w:r>
        <w:rPr>
          <w:rFonts w:hint="default" w:ascii="Times New Roman" w:hAnsi="Times New Roman" w:eastAsia="仿宋_GB2312" w:cs="Times New Roman"/>
          <w:b/>
          <w:bCs/>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农村部分计划生育家庭奖励金发放标准。2022年度全省全年实际发放标准</w:t>
      </w:r>
      <w:r>
        <w:rPr>
          <w:rFonts w:hint="eastAsia" w:ascii="Times New Roman" w:hAnsi="Times New Roman" w:cs="Times New Roman"/>
          <w:snapToGrid w:val="0"/>
          <w:color w:val="auto"/>
          <w:sz w:val="32"/>
          <w:highlight w:val="none"/>
          <w:lang w:val="en-US" w:eastAsia="zh-CN"/>
        </w:rPr>
        <w:t>高于</w:t>
      </w:r>
      <w:r>
        <w:rPr>
          <w:rFonts w:hint="default" w:ascii="Times New Roman" w:hAnsi="Times New Roman" w:eastAsia="仿宋_GB2312" w:cs="Times New Roman"/>
          <w:snapToGrid w:val="0"/>
          <w:color w:val="auto"/>
          <w:sz w:val="32"/>
          <w:highlight w:val="none"/>
        </w:rPr>
        <w:t>中央下达</w:t>
      </w:r>
      <w:r>
        <w:rPr>
          <w:rFonts w:hint="eastAsia" w:ascii="Times New Roman" w:hAnsi="Times New Roman" w:cs="Times New Roman"/>
          <w:snapToGrid w:val="0"/>
          <w:color w:val="auto"/>
          <w:sz w:val="32"/>
          <w:highlight w:val="none"/>
          <w:lang w:val="en-US" w:eastAsia="zh-CN"/>
        </w:rPr>
        <w:t>的</w:t>
      </w:r>
      <w:r>
        <w:rPr>
          <w:rFonts w:hint="default" w:ascii="Times New Roman" w:hAnsi="Times New Roman" w:eastAsia="仿宋_GB2312" w:cs="Times New Roman"/>
          <w:snapToGrid w:val="0"/>
          <w:color w:val="auto"/>
          <w:sz w:val="32"/>
          <w:highlight w:val="none"/>
        </w:rPr>
        <w:t>农村部分计划生育家庭奖励金发放标准指标值，超额完成国家目标。</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5</w:t>
      </w:r>
      <w:r>
        <w:rPr>
          <w:rFonts w:hint="default" w:ascii="Times New Roman" w:hAnsi="Times New Roman" w:eastAsia="仿宋_GB2312" w:cs="Times New Roman"/>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独生子女伤残家庭扶助资金发放标准。2022年度全省全年实际独生子女伤残家庭扶助资金发放标准</w:t>
      </w:r>
      <w:r>
        <w:rPr>
          <w:rFonts w:hint="eastAsia" w:ascii="Times New Roman" w:hAnsi="Times New Roman" w:cs="Times New Roman"/>
          <w:snapToGrid w:val="0"/>
          <w:color w:val="auto"/>
          <w:sz w:val="32"/>
          <w:highlight w:val="none"/>
          <w:lang w:val="en-US" w:eastAsia="zh-CN"/>
        </w:rPr>
        <w:t>高于</w:t>
      </w:r>
      <w:r>
        <w:rPr>
          <w:rFonts w:hint="default" w:ascii="Times New Roman" w:hAnsi="Times New Roman" w:eastAsia="仿宋_GB2312" w:cs="Times New Roman"/>
          <w:snapToGrid w:val="0"/>
          <w:color w:val="auto"/>
          <w:sz w:val="32"/>
          <w:highlight w:val="none"/>
        </w:rPr>
        <w:t>中央</w:t>
      </w:r>
      <w:r>
        <w:rPr>
          <w:rFonts w:hint="eastAsia" w:ascii="Times New Roman" w:hAnsi="Times New Roman" w:cs="Times New Roman"/>
          <w:snapToGrid w:val="0"/>
          <w:color w:val="auto"/>
          <w:sz w:val="32"/>
          <w:highlight w:val="none"/>
          <w:lang w:val="en-US" w:eastAsia="zh-CN"/>
        </w:rPr>
        <w:t>上半年及下半年</w:t>
      </w:r>
      <w:r>
        <w:rPr>
          <w:rFonts w:hint="default" w:ascii="Times New Roman" w:hAnsi="Times New Roman" w:eastAsia="仿宋_GB2312" w:cs="Times New Roman"/>
          <w:snapToGrid w:val="0"/>
          <w:color w:val="auto"/>
          <w:sz w:val="32"/>
          <w:highlight w:val="none"/>
        </w:rPr>
        <w:t>下达</w:t>
      </w:r>
      <w:r>
        <w:rPr>
          <w:rFonts w:hint="eastAsia" w:ascii="Times New Roman" w:hAnsi="Times New Roman" w:cs="Times New Roman"/>
          <w:snapToGrid w:val="0"/>
          <w:color w:val="auto"/>
          <w:sz w:val="32"/>
          <w:highlight w:val="none"/>
          <w:lang w:val="en-US" w:eastAsia="zh-CN"/>
        </w:rPr>
        <w:t>的</w:t>
      </w:r>
      <w:r>
        <w:rPr>
          <w:rFonts w:hint="default" w:ascii="Times New Roman" w:hAnsi="Times New Roman" w:eastAsia="仿宋_GB2312" w:cs="Times New Roman"/>
          <w:snapToGrid w:val="0"/>
          <w:color w:val="auto"/>
          <w:sz w:val="32"/>
          <w:highlight w:val="none"/>
        </w:rPr>
        <w:t>发放标准指标值，超额完成国家目标。</w:t>
      </w:r>
    </w:p>
    <w:p>
      <w:pPr>
        <w:keepNext w:val="0"/>
        <w:keepLines w:val="0"/>
        <w:pageBreakBefore w:val="0"/>
        <w:kinsoku/>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6</w:t>
      </w:r>
      <w:r>
        <w:rPr>
          <w:rFonts w:hint="default" w:ascii="Times New Roman" w:hAnsi="Times New Roman" w:eastAsia="仿宋_GB2312" w:cs="Times New Roman"/>
          <w:b/>
          <w:bCs/>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独生子女死亡家庭扶助资金发放标准。2022年度全年实际独生子女死亡家庭扶助资金发放标准</w:t>
      </w:r>
      <w:r>
        <w:rPr>
          <w:rFonts w:hint="eastAsia" w:ascii="Times New Roman" w:hAnsi="Times New Roman" w:cs="Times New Roman"/>
          <w:snapToGrid w:val="0"/>
          <w:color w:val="auto"/>
          <w:sz w:val="32"/>
          <w:highlight w:val="none"/>
          <w:lang w:val="en-US" w:eastAsia="zh-CN"/>
        </w:rPr>
        <w:t>高于上半年及下半年</w:t>
      </w:r>
      <w:r>
        <w:rPr>
          <w:rFonts w:hint="default" w:ascii="Times New Roman" w:hAnsi="Times New Roman" w:eastAsia="仿宋_GB2312" w:cs="Times New Roman"/>
          <w:snapToGrid w:val="0"/>
          <w:color w:val="auto"/>
          <w:sz w:val="32"/>
          <w:highlight w:val="none"/>
        </w:rPr>
        <w:t>中央</w:t>
      </w:r>
      <w:r>
        <w:rPr>
          <w:rFonts w:hint="eastAsia" w:ascii="Times New Roman" w:hAnsi="Times New Roman" w:cs="Times New Roman"/>
          <w:snapToGrid w:val="0"/>
          <w:color w:val="auto"/>
          <w:sz w:val="32"/>
          <w:highlight w:val="none"/>
          <w:lang w:val="en-US" w:eastAsia="zh-CN"/>
        </w:rPr>
        <w:t>上半年及下半年</w:t>
      </w:r>
      <w:r>
        <w:rPr>
          <w:rFonts w:hint="default" w:ascii="Times New Roman" w:hAnsi="Times New Roman" w:eastAsia="仿宋_GB2312" w:cs="Times New Roman"/>
          <w:snapToGrid w:val="0"/>
          <w:color w:val="auto"/>
          <w:sz w:val="32"/>
          <w:highlight w:val="none"/>
        </w:rPr>
        <w:t>下达</w:t>
      </w:r>
      <w:r>
        <w:rPr>
          <w:rFonts w:hint="eastAsia" w:ascii="Times New Roman" w:hAnsi="Times New Roman" w:cs="Times New Roman"/>
          <w:snapToGrid w:val="0"/>
          <w:color w:val="auto"/>
          <w:sz w:val="32"/>
          <w:highlight w:val="none"/>
          <w:lang w:val="en-US" w:eastAsia="zh-CN"/>
        </w:rPr>
        <w:t>的</w:t>
      </w:r>
      <w:r>
        <w:rPr>
          <w:rFonts w:hint="default" w:ascii="Times New Roman" w:hAnsi="Times New Roman" w:eastAsia="仿宋_GB2312" w:cs="Times New Roman"/>
          <w:snapToGrid w:val="0"/>
          <w:color w:val="auto"/>
          <w:sz w:val="32"/>
          <w:highlight w:val="none"/>
        </w:rPr>
        <w:t>独生子女死亡家庭扶助资金发放标准指标值</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，超额完成国家目标。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指标</w:t>
      </w:r>
      <w:r>
        <w:rPr>
          <w:rFonts w:hint="eastAsia" w:ascii="Times New Roman" w:hAnsi="Times New Roman" w:cs="Times New Roman"/>
          <w:b/>
          <w:bCs/>
          <w:snapToGrid w:val="0"/>
          <w:color w:val="auto"/>
          <w:sz w:val="32"/>
          <w:highlight w:val="none"/>
          <w:lang w:val="en-US" w:eastAsia="zh-CN"/>
        </w:rPr>
        <w:t>7</w:t>
      </w:r>
      <w:r>
        <w:rPr>
          <w:rFonts w:hint="default" w:ascii="Times New Roman" w:hAnsi="Times New Roman" w:eastAsia="仿宋_GB2312" w:cs="Times New Roman"/>
          <w:snapToGrid w:val="0"/>
          <w:color w:val="auto"/>
          <w:sz w:val="32"/>
          <w:highlight w:val="none"/>
          <w:lang w:val="en-US" w:eastAsia="zh-CN"/>
        </w:rPr>
        <w:t xml:space="preserve"> </w:t>
      </w:r>
      <w:r>
        <w:rPr>
          <w:rFonts w:hint="default" w:ascii="Times New Roman" w:hAnsi="Times New Roman" w:eastAsia="仿宋_GB2312" w:cs="Times New Roman"/>
          <w:snapToGrid w:val="0"/>
          <w:color w:val="auto"/>
          <w:sz w:val="32"/>
          <w:highlight w:val="none"/>
        </w:rPr>
        <w:t>计划生育手术并发症家庭扶助资金发放标准。2022年</w:t>
      </w:r>
      <w:r>
        <w:rPr>
          <w:rFonts w:hint="eastAsia" w:ascii="Times New Roman" w:hAnsi="Times New Roman" w:cs="Times New Roman"/>
          <w:snapToGrid w:val="0"/>
          <w:color w:val="auto"/>
          <w:sz w:val="32"/>
          <w:highlight w:val="none"/>
          <w:lang w:val="en-US" w:eastAsia="zh-CN"/>
        </w:rPr>
        <w:t>度</w:t>
      </w:r>
      <w:r>
        <w:rPr>
          <w:rFonts w:hint="default" w:ascii="Times New Roman" w:hAnsi="Times New Roman" w:eastAsia="仿宋_GB2312" w:cs="Times New Roman"/>
          <w:snapToGrid w:val="0"/>
          <w:color w:val="auto"/>
          <w:sz w:val="32"/>
          <w:highlight w:val="none"/>
        </w:rPr>
        <w:t>全省实际计划生育手术并发症家庭扶助资金发放标准</w:t>
      </w:r>
      <w:r>
        <w:rPr>
          <w:rFonts w:hint="eastAsia" w:ascii="Times New Roman" w:hAnsi="Times New Roman" w:cs="Times New Roman"/>
          <w:snapToGrid w:val="0"/>
          <w:color w:val="auto"/>
          <w:sz w:val="32"/>
          <w:highlight w:val="none"/>
          <w:lang w:val="en-US" w:eastAsia="zh-CN"/>
        </w:rPr>
        <w:t>与</w:t>
      </w:r>
      <w:r>
        <w:rPr>
          <w:rFonts w:hint="default" w:ascii="Times New Roman" w:hAnsi="Times New Roman" w:eastAsia="仿宋_GB2312" w:cs="Times New Roman"/>
          <w:snapToGrid w:val="0"/>
          <w:color w:val="auto"/>
          <w:sz w:val="32"/>
          <w:highlight w:val="none"/>
        </w:rPr>
        <w:t>中央</w:t>
      </w:r>
      <w:r>
        <w:rPr>
          <w:rFonts w:hint="eastAsia" w:ascii="Times New Roman" w:hAnsi="Times New Roman" w:cs="Times New Roman"/>
          <w:snapToGrid w:val="0"/>
          <w:color w:val="auto"/>
          <w:sz w:val="32"/>
          <w:highlight w:val="none"/>
          <w:lang w:val="en-US" w:eastAsia="zh-CN"/>
        </w:rPr>
        <w:t>上半年及下半年</w:t>
      </w:r>
      <w:r>
        <w:rPr>
          <w:rFonts w:hint="default" w:ascii="Times New Roman" w:hAnsi="Times New Roman" w:eastAsia="仿宋_GB2312" w:cs="Times New Roman"/>
          <w:snapToGrid w:val="0"/>
          <w:color w:val="auto"/>
          <w:sz w:val="32"/>
          <w:highlight w:val="none"/>
        </w:rPr>
        <w:t>下达</w:t>
      </w:r>
      <w:r>
        <w:rPr>
          <w:rFonts w:hint="eastAsia" w:ascii="Times New Roman" w:hAnsi="Times New Roman" w:cs="Times New Roman"/>
          <w:snapToGrid w:val="0"/>
          <w:color w:val="auto"/>
          <w:sz w:val="32"/>
          <w:highlight w:val="none"/>
          <w:lang w:val="en-US" w:eastAsia="zh-CN"/>
        </w:rPr>
        <w:t>的</w:t>
      </w:r>
      <w:r>
        <w:rPr>
          <w:rFonts w:hint="default" w:ascii="Times New Roman" w:hAnsi="Times New Roman" w:eastAsia="仿宋_GB2312" w:cs="Times New Roman"/>
          <w:snapToGrid w:val="0"/>
          <w:color w:val="auto"/>
          <w:sz w:val="32"/>
          <w:highlight w:val="none"/>
        </w:rPr>
        <w:t>计划生育手术并发症家庭扶助资金发放标准指标值</w:t>
      </w:r>
      <w:r>
        <w:rPr>
          <w:rFonts w:hint="eastAsia" w:ascii="Times New Roman" w:hAnsi="Times New Roman" w:cs="Times New Roman"/>
          <w:snapToGrid w:val="0"/>
          <w:color w:val="auto"/>
          <w:sz w:val="32"/>
          <w:highlight w:val="none"/>
          <w:lang w:val="en-US" w:eastAsia="zh-CN"/>
        </w:rPr>
        <w:t>保持一致</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2</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eastAsia="zh-CN"/>
        </w:rPr>
        <w:t>效益指标</w:t>
      </w:r>
      <w:r>
        <w:rPr>
          <w:rFonts w:hint="eastAsia" w:ascii="Times New Roman" w:hAnsi="Times New Roman" w:cs="Times New Roman"/>
          <w:b/>
          <w:bCs/>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指标</w:t>
      </w:r>
      <w:r>
        <w:rPr>
          <w:rFonts w:hint="eastAsia" w:ascii="Times New Roman" w:hAnsi="Times New Roman" w:cs="Times New Roman"/>
          <w:b/>
          <w:bCs/>
          <w:snapToGrid w:val="0"/>
          <w:color w:val="auto"/>
          <w:kern w:val="0"/>
          <w:sz w:val="32"/>
          <w:szCs w:val="32"/>
          <w:highlight w:val="none"/>
          <w:lang w:val="en-US" w:eastAsia="zh-CN"/>
        </w:rPr>
        <w:t>8</w:t>
      </w:r>
      <w:r>
        <w:rPr>
          <w:rFonts w:hint="default" w:ascii="Times New Roman" w:hAnsi="Times New Roman" w:eastAsia="仿宋_GB2312" w:cs="Times New Roman"/>
          <w:b/>
          <w:bCs/>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bidi="ar"/>
        </w:rPr>
        <w:t>家庭发展能力</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kern w:val="0"/>
          <w:sz w:val="32"/>
          <w:szCs w:val="32"/>
          <w:highlight w:val="none"/>
          <w:lang w:bidi="ar"/>
        </w:rPr>
        <w:t>逐步提高</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sz w:val="32"/>
          <w:highlight w:val="none"/>
        </w:rPr>
        <w:t>按照国家的部署要求，我省认真落实农村部分计划生育家庭奖励扶助制度，各级</w:t>
      </w:r>
      <w:r>
        <w:rPr>
          <w:rFonts w:hint="default" w:ascii="Times New Roman" w:hAnsi="Times New Roman" w:eastAsia="仿宋_GB2312" w:cs="Times New Roman"/>
          <w:snapToGrid w:val="0"/>
          <w:color w:val="auto"/>
          <w:sz w:val="32"/>
          <w:highlight w:val="none"/>
          <w:lang w:val="en-US" w:eastAsia="zh-CN"/>
        </w:rPr>
        <w:t>政府</w:t>
      </w:r>
      <w:r>
        <w:rPr>
          <w:rFonts w:hint="default" w:ascii="Times New Roman" w:hAnsi="Times New Roman" w:eastAsia="仿宋_GB2312" w:cs="Times New Roman"/>
          <w:snapToGrid w:val="0"/>
          <w:color w:val="auto"/>
          <w:sz w:val="32"/>
          <w:highlight w:val="none"/>
        </w:rPr>
        <w:t>落实配套资金，确保资金全额到位和及时</w:t>
      </w:r>
      <w:r>
        <w:rPr>
          <w:rFonts w:hint="default" w:ascii="Times New Roman" w:hAnsi="Times New Roman" w:eastAsia="仿宋_GB2312" w:cs="Times New Roman"/>
          <w:snapToGrid w:val="0"/>
          <w:color w:val="auto"/>
          <w:sz w:val="32"/>
          <w:highlight w:val="none"/>
          <w:lang w:val="en-US" w:eastAsia="zh-CN"/>
        </w:rPr>
        <w:t>足额</w:t>
      </w:r>
      <w:r>
        <w:rPr>
          <w:rFonts w:hint="default" w:ascii="Times New Roman" w:hAnsi="Times New Roman" w:eastAsia="仿宋_GB2312" w:cs="Times New Roman"/>
          <w:snapToGrid w:val="0"/>
          <w:color w:val="auto"/>
          <w:sz w:val="32"/>
          <w:highlight w:val="none"/>
        </w:rPr>
        <w:t>发放，有效促进农村人口与经济社会协调发展，缓解农村只有一个子女或两个女孩的计划生育家庭面临的特殊困难，</w:t>
      </w:r>
      <w:r>
        <w:rPr>
          <w:rFonts w:hint="default" w:ascii="Times New Roman" w:hAnsi="Times New Roman" w:eastAsia="仿宋_GB2312" w:cs="Times New Roman"/>
          <w:snapToGrid w:val="0"/>
          <w:color w:val="auto"/>
          <w:kern w:val="0"/>
          <w:sz w:val="32"/>
          <w:szCs w:val="32"/>
          <w:highlight w:val="none"/>
          <w:lang w:val="en-US" w:eastAsia="zh-CN" w:bidi="ar"/>
        </w:rPr>
        <w:t>解决农村独生子女和双女家庭的养老问题，家庭发展能力逐步提高</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snapToGrid w:val="0"/>
          <w:color w:val="auto"/>
          <w:sz w:val="32"/>
          <w:szCs w:val="32"/>
          <w:highlight w:val="none"/>
          <w:lang w:val="en-US" w:eastAsia="zh-CN"/>
        </w:rPr>
      </w:pPr>
      <w:r>
        <w:rPr>
          <w:rFonts w:hint="default" w:ascii="Times New Roman" w:hAnsi="Times New Roman" w:eastAsia="仿宋_GB2312" w:cs="Times New Roman"/>
          <w:b/>
          <w:bCs w:val="0"/>
          <w:snapToGrid w:val="0"/>
          <w:color w:val="auto"/>
          <w:sz w:val="32"/>
          <w:szCs w:val="32"/>
          <w:highlight w:val="none"/>
          <w:lang w:val="en-US" w:eastAsia="zh-CN"/>
        </w:rPr>
        <w:t>指标</w:t>
      </w:r>
      <w:r>
        <w:rPr>
          <w:rFonts w:hint="eastAsia" w:ascii="Times New Roman" w:hAnsi="Times New Roman" w:cs="Times New Roman"/>
          <w:b/>
          <w:bCs w:val="0"/>
          <w:snapToGrid w:val="0"/>
          <w:color w:val="auto"/>
          <w:sz w:val="32"/>
          <w:szCs w:val="32"/>
          <w:highlight w:val="none"/>
          <w:lang w:val="en-US" w:eastAsia="zh-CN"/>
        </w:rPr>
        <w:t>9</w:t>
      </w:r>
      <w:r>
        <w:rPr>
          <w:rFonts w:hint="default" w:ascii="Times New Roman" w:hAnsi="Times New Roman" w:eastAsia="仿宋_GB2312" w:cs="Times New Roman"/>
          <w:b w:val="0"/>
          <w:bCs/>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bidi="ar"/>
        </w:rPr>
        <w:t>社会稳定水平</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kern w:val="0"/>
          <w:sz w:val="32"/>
          <w:szCs w:val="32"/>
          <w:highlight w:val="none"/>
          <w:lang w:bidi="ar"/>
        </w:rPr>
        <w:t>逐步提高</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b w:val="0"/>
          <w:bCs/>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highlight w:val="none"/>
        </w:rPr>
        <w:t>建立和实施计划生育家庭奖励扶助制度，是人口和计划生育政策的完善和发展，是全面落实习近平新时代中国特色理论，促进和谐社会建设的具体实践。同时，体现了党和政府对广大计划生育家庭的关怀。政策任务的有效实施，不仅仅缓解计生家庭的实际困难，扩大了社会保障覆盖面，还充分体现人口和计划生育工作以人为本的理念，促进了计划生育家庭的可持续发展，在很大程度上减少了可引发社会不稳定的因素，为健康广东做出了贡献</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实现预期效果</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kern w:val="0"/>
          <w:sz w:val="32"/>
          <w:szCs w:val="32"/>
          <w:highlight w:val="none"/>
          <w:lang w:bidi="ar"/>
        </w:rPr>
        <w:t>逐步提高</w:t>
      </w:r>
      <w:r>
        <w:rPr>
          <w:rFonts w:hint="default" w:ascii="Times New Roman" w:hAnsi="Times New Roman"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val="0"/>
          <w:color w:val="auto"/>
          <w:sz w:val="32"/>
          <w:szCs w:val="32"/>
          <w:highlight w:val="none"/>
        </w:rPr>
      </w:pPr>
      <w:r>
        <w:rPr>
          <w:rFonts w:hint="default" w:ascii="Times New Roman" w:hAnsi="Times New Roman" w:eastAsia="仿宋_GB2312" w:cs="Times New Roman"/>
          <w:b w:val="0"/>
          <w:bCs/>
          <w:snapToGrid w:val="0"/>
          <w:color w:val="auto"/>
          <w:sz w:val="32"/>
          <w:szCs w:val="32"/>
          <w:highlight w:val="none"/>
          <w:lang w:val="en-US" w:eastAsia="zh-CN"/>
        </w:rPr>
        <w:t>2</w:t>
      </w:r>
      <w:r>
        <w:rPr>
          <w:rFonts w:hint="default" w:ascii="Times New Roman" w:hAnsi="Times New Roman" w:eastAsia="仿宋_GB2312" w:cs="Times New Roman"/>
          <w:b w:val="0"/>
          <w:bCs/>
          <w:snapToGrid w:val="0"/>
          <w:color w:val="auto"/>
          <w:sz w:val="32"/>
          <w:highlight w:val="none"/>
        </w:rPr>
        <w:t>022年度中央</w:t>
      </w:r>
      <w:r>
        <w:rPr>
          <w:rFonts w:hint="default" w:ascii="Times New Roman" w:hAnsi="Times New Roman" w:eastAsia="仿宋_GB2312" w:cs="Times New Roman"/>
          <w:b w:val="0"/>
          <w:bCs/>
          <w:snapToGrid w:val="0"/>
          <w:color w:val="auto"/>
          <w:sz w:val="32"/>
          <w:highlight w:val="none"/>
          <w:lang w:val="en-US" w:eastAsia="zh-CN"/>
        </w:rPr>
        <w:t>下达我省的项目</w:t>
      </w:r>
      <w:r>
        <w:rPr>
          <w:rFonts w:hint="default" w:ascii="Times New Roman" w:hAnsi="Times New Roman" w:eastAsia="仿宋_GB2312" w:cs="Times New Roman"/>
          <w:b w:val="0"/>
          <w:bCs/>
          <w:snapToGrid w:val="0"/>
          <w:color w:val="auto"/>
          <w:sz w:val="32"/>
          <w:szCs w:val="32"/>
          <w:highlight w:val="none"/>
        </w:rPr>
        <w:t>总体目标和绩效指标</w:t>
      </w:r>
      <w:r>
        <w:rPr>
          <w:rFonts w:hint="default" w:ascii="Times New Roman" w:hAnsi="Times New Roman" w:eastAsia="仿宋_GB2312" w:cs="Times New Roman"/>
          <w:b w:val="0"/>
          <w:bCs/>
          <w:snapToGrid w:val="0"/>
          <w:color w:val="auto"/>
          <w:sz w:val="32"/>
          <w:highlight w:val="none"/>
          <w:lang w:val="en-US" w:eastAsia="zh-CN"/>
        </w:rPr>
        <w:t>全部如期实现，不存在</w:t>
      </w:r>
      <w:r>
        <w:rPr>
          <w:rFonts w:hint="default" w:ascii="Times New Roman" w:hAnsi="Times New Roman" w:eastAsia="仿宋_GB2312" w:cs="Times New Roman"/>
          <w:b w:val="0"/>
          <w:bCs/>
          <w:snapToGrid w:val="0"/>
          <w:color w:val="auto"/>
          <w:sz w:val="32"/>
          <w:szCs w:val="32"/>
          <w:highlight w:val="none"/>
        </w:rPr>
        <w:t>偏离绩效目标</w:t>
      </w:r>
      <w:r>
        <w:rPr>
          <w:rFonts w:hint="default" w:ascii="Times New Roman" w:hAnsi="Times New Roman" w:eastAsia="仿宋_GB2312" w:cs="Times New Roman"/>
          <w:b w:val="0"/>
          <w:bCs/>
          <w:snapToGrid w:val="0"/>
          <w:color w:val="auto"/>
          <w:sz w:val="32"/>
          <w:szCs w:val="32"/>
          <w:highlight w:val="none"/>
          <w:lang w:val="en-US" w:eastAsia="zh-CN"/>
        </w:rPr>
        <w:t>情况</w:t>
      </w:r>
      <w:r>
        <w:rPr>
          <w:rFonts w:hint="default" w:ascii="Times New Roman" w:hAnsi="Times New Roman" w:eastAsia="仿宋_GB2312" w:cs="Times New Roman"/>
          <w:b w:val="0"/>
          <w:bCs/>
          <w:snapToGrid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shd w:val="clear" w:color="auto" w:fill="FFFF00"/>
          <w:lang w:val="en-US" w:eastAsia="zh-CN"/>
        </w:rPr>
      </w:pPr>
      <w:r>
        <w:rPr>
          <w:rFonts w:hint="default" w:ascii="Times New Roman" w:hAnsi="Times New Roman" w:eastAsia="黑体" w:cs="Times New Roman"/>
          <w:b w:val="0"/>
          <w:bCs/>
          <w:snapToGrid w:val="0"/>
          <w:color w:val="auto"/>
          <w:sz w:val="32"/>
          <w:szCs w:val="32"/>
          <w:highlight w:val="none"/>
          <w:lang w:val="en-US" w:eastAsia="zh-CN"/>
        </w:rPr>
        <w:t>四、</w:t>
      </w:r>
      <w:r>
        <w:rPr>
          <w:rFonts w:hint="default" w:ascii="Times New Roman" w:hAnsi="Times New Roman" w:eastAsia="黑体" w:cs="Times New Roman"/>
          <w:b w:val="0"/>
          <w:bCs w:val="0"/>
          <w:snapToGrid w:val="0"/>
          <w:color w:val="auto"/>
          <w:kern w:val="0"/>
          <w:sz w:val="32"/>
          <w:szCs w:val="32"/>
          <w:highlight w:val="none"/>
          <w:lang w:val="en-US" w:eastAsia="zh-CN"/>
        </w:rPr>
        <w:t>存在困难与建议</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rPr>
          <w:rFonts w:hint="default"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w:t>
      </w:r>
      <w:r>
        <w:rPr>
          <w:rFonts w:hint="default" w:ascii="楷体_GB2312" w:hAnsi="楷体_GB2312" w:eastAsia="楷体_GB2312" w:cs="楷体_GB2312"/>
          <w:b w:val="0"/>
          <w:bCs w:val="0"/>
          <w:snapToGrid w:val="0"/>
          <w:color w:val="auto"/>
          <w:kern w:val="0"/>
          <w:sz w:val="32"/>
          <w:szCs w:val="32"/>
          <w:highlight w:val="none"/>
          <w:lang w:val="en-US" w:eastAsia="zh-CN" w:bidi="ar"/>
        </w:rPr>
        <w:t>一</w:t>
      </w:r>
      <w:r>
        <w:rPr>
          <w:rFonts w:hint="eastAsia" w:ascii="楷体_GB2312" w:hAnsi="楷体_GB2312" w:eastAsia="楷体_GB2312" w:cs="楷体_GB2312"/>
          <w:b w:val="0"/>
          <w:bCs w:val="0"/>
          <w:snapToGrid w:val="0"/>
          <w:color w:val="auto"/>
          <w:kern w:val="0"/>
          <w:sz w:val="32"/>
          <w:szCs w:val="32"/>
          <w:highlight w:val="none"/>
          <w:lang w:val="en-US" w:eastAsia="zh-CN" w:bidi="ar"/>
        </w:rPr>
        <w:t>）</w:t>
      </w:r>
      <w:r>
        <w:rPr>
          <w:rFonts w:hint="default" w:ascii="楷体_GB2312" w:hAnsi="楷体_GB2312" w:eastAsia="楷体_GB2312" w:cs="楷体_GB2312"/>
          <w:b w:val="0"/>
          <w:bCs w:val="0"/>
          <w:snapToGrid w:val="0"/>
          <w:color w:val="auto"/>
          <w:kern w:val="0"/>
          <w:sz w:val="32"/>
          <w:szCs w:val="32"/>
          <w:highlight w:val="none"/>
          <w:lang w:val="en-US" w:eastAsia="zh-CN" w:bidi="ar"/>
        </w:rPr>
        <w:t>存在的困难、问題</w:t>
      </w:r>
      <w:r>
        <w:rPr>
          <w:rFonts w:hint="eastAsia" w:ascii="楷体_GB2312" w:hAnsi="楷体_GB2312" w:eastAsia="楷体_GB2312" w:cs="楷体_GB2312"/>
          <w:b w:val="0"/>
          <w:bCs w:val="0"/>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1</w:t>
      </w:r>
      <w:r>
        <w:rPr>
          <w:rFonts w:hint="eastAsia" w:ascii="仿宋_GB2312" w:hAnsi="仿宋_GB2312" w:eastAsia="仿宋_GB2312" w:cs="仿宋_GB2312"/>
          <w:snapToGrid w:val="0"/>
          <w:color w:val="auto"/>
          <w:sz w:val="32"/>
          <w:highlight w:val="none"/>
        </w:rPr>
        <w:t>.</w:t>
      </w:r>
      <w:r>
        <w:rPr>
          <w:rFonts w:hint="default" w:ascii="Times New Roman" w:hAnsi="Times New Roman" w:eastAsia="仿宋_GB2312" w:cs="Times New Roman"/>
          <w:snapToGrid w:val="0"/>
          <w:color w:val="auto"/>
          <w:sz w:val="32"/>
          <w:highlight w:val="none"/>
        </w:rPr>
        <w:t>基层负责人口计生工作的人员变动较大，工作交接存在一些薄弱环节，导致工作的连续性与上级的要求有差距。部分地区存在逻辑错误的数据，仍需要加强利用信息化技术对后台数据进行逻辑审核，督促各地加大队伍培训和数据核实力度，确保奖扶对象数据准确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2</w:t>
      </w:r>
      <w:r>
        <w:rPr>
          <w:rFonts w:hint="default" w:ascii="仿宋_GB2312" w:hAnsi="仿宋_GB2312" w:eastAsia="仿宋_GB2312" w:cs="仿宋_GB2312"/>
          <w:snapToGrid w:val="0"/>
          <w:color w:val="auto"/>
          <w:sz w:val="32"/>
          <w:szCs w:val="22"/>
          <w:highlight w:val="none"/>
        </w:rPr>
        <w:t>.宣</w:t>
      </w:r>
      <w:r>
        <w:rPr>
          <w:rFonts w:hint="default" w:ascii="Times New Roman" w:hAnsi="Times New Roman" w:eastAsia="仿宋_GB2312" w:cs="Times New Roman"/>
          <w:snapToGrid w:val="0"/>
          <w:color w:val="auto"/>
          <w:sz w:val="32"/>
          <w:highlight w:val="none"/>
        </w:rPr>
        <w:t>传力度有待提高，奖励对象和扶助对象对政策知晓不够全面，一些奖励扶助对象生育行为发生时间节点等存在认定难的问题；个别外省人员迁入本省时，由于信息共享不足，其历史婚育等情况无法及时准确掌握，导致认定困难。个别奖扶对象因死亡后未及时退出以及个别奖扶对象未及时、如实申报个人情况导致行政部门无法及时终止奖扶金发放等多领取奖励扶助金的，存在退回困难等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3</w:t>
      </w:r>
      <w:r>
        <w:rPr>
          <w:rFonts w:hint="default" w:ascii="仿宋_GB2312" w:hAnsi="仿宋_GB2312" w:eastAsia="仿宋_GB2312" w:cs="仿宋_GB2312"/>
          <w:snapToGrid w:val="0"/>
          <w:color w:val="auto"/>
          <w:sz w:val="32"/>
          <w:szCs w:val="22"/>
          <w:highlight w:val="none"/>
        </w:rPr>
        <w:t>.</w:t>
      </w:r>
      <w:r>
        <w:rPr>
          <w:rFonts w:hint="default" w:ascii="Times New Roman" w:hAnsi="Times New Roman" w:eastAsia="仿宋_GB2312" w:cs="Times New Roman"/>
          <w:snapToGrid w:val="0"/>
          <w:color w:val="auto"/>
          <w:sz w:val="32"/>
          <w:highlight w:val="none"/>
        </w:rPr>
        <w:t>信息共享机制有待完善，奖扶对象退出不够及时。扶助对象因扶助状态发生变化时，系统更新不及时。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4</w:t>
      </w:r>
      <w:r>
        <w:rPr>
          <w:rFonts w:hint="default" w:ascii="仿宋_GB2312" w:hAnsi="仿宋_GB2312" w:eastAsia="仿宋_GB2312" w:cs="仿宋_GB2312"/>
          <w:snapToGrid w:val="0"/>
          <w:color w:val="auto"/>
          <w:sz w:val="32"/>
          <w:szCs w:val="22"/>
          <w:highlight w:val="none"/>
        </w:rPr>
        <w:t>.个</w:t>
      </w:r>
      <w:r>
        <w:rPr>
          <w:rFonts w:hint="default" w:ascii="Times New Roman" w:hAnsi="Times New Roman" w:eastAsia="仿宋_GB2312" w:cs="Times New Roman"/>
          <w:snapToGrid w:val="0"/>
          <w:color w:val="auto"/>
          <w:sz w:val="32"/>
          <w:highlight w:val="none"/>
        </w:rPr>
        <w:t>别县（市、区）仍按季度发放奖励资金，甚至极个别县（市、区）是半年发放一次，明显存在延后性，与国家和省的要求有差距，从而导致出现实际支出与系统统计有偏差的情况。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5</w:t>
      </w:r>
      <w:r>
        <w:rPr>
          <w:rFonts w:hint="default" w:ascii="仿宋_GB2312" w:hAnsi="仿宋_GB2312" w:eastAsia="仿宋_GB2312" w:cs="仿宋_GB2312"/>
          <w:snapToGrid w:val="0"/>
          <w:color w:val="auto"/>
          <w:sz w:val="32"/>
          <w:szCs w:val="22"/>
          <w:highlight w:val="none"/>
        </w:rPr>
        <w:t>.全</w:t>
      </w:r>
      <w:r>
        <w:rPr>
          <w:rFonts w:hint="default" w:ascii="Times New Roman" w:hAnsi="Times New Roman" w:eastAsia="仿宋_GB2312" w:cs="Times New Roman"/>
          <w:snapToGrid w:val="0"/>
          <w:color w:val="auto"/>
          <w:sz w:val="32"/>
          <w:highlight w:val="none"/>
        </w:rPr>
        <w:t>面有效的监管机制有待完善。</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（二）工作建议。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1</w:t>
      </w:r>
      <w:r>
        <w:rPr>
          <w:rFonts w:hint="eastAsia" w:ascii="仿宋_GB2312" w:hAnsi="仿宋_GB2312" w:eastAsia="仿宋_GB2312" w:cs="仿宋_GB2312"/>
          <w:snapToGrid w:val="0"/>
          <w:color w:val="auto"/>
          <w:sz w:val="32"/>
          <w:szCs w:val="22"/>
          <w:highlight w:val="none"/>
        </w:rPr>
        <w:t>.</w:t>
      </w:r>
      <w:r>
        <w:rPr>
          <w:rFonts w:hint="default" w:ascii="仿宋_GB2312" w:hAnsi="仿宋_GB2312" w:eastAsia="仿宋_GB2312" w:cs="仿宋_GB2312"/>
          <w:snapToGrid w:val="0"/>
          <w:color w:val="auto"/>
          <w:sz w:val="32"/>
          <w:szCs w:val="22"/>
          <w:highlight w:val="none"/>
        </w:rPr>
        <w:t>加</w:t>
      </w:r>
      <w:r>
        <w:rPr>
          <w:rFonts w:hint="default" w:ascii="Times New Roman" w:hAnsi="Times New Roman" w:eastAsia="仿宋_GB2312" w:cs="Times New Roman"/>
          <w:snapToGrid w:val="0"/>
          <w:color w:val="auto"/>
          <w:sz w:val="32"/>
          <w:highlight w:val="none"/>
        </w:rPr>
        <w:t>强基层工作人员业务学习与专业培训；进一步提高人口统计数据质量，提升计划生育家庭奖励扶助数据信息的准确性，减少逻辑性错误。做好计划生育家庭奖励扶助对象的资格确认、建立信息档案、数据汇总分析和日常数据管理</w:t>
      </w:r>
      <w:r>
        <w:rPr>
          <w:rFonts w:hint="eastAsia" w:ascii="Times New Roman" w:hAnsi="Times New Roman"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rPr>
        <w:t>严格把关审核程序，做到及时上报、杜绝漏报、错报，确保准确率和及时率。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2</w:t>
      </w:r>
      <w:r>
        <w:rPr>
          <w:rFonts w:hint="default" w:ascii="仿宋_GB2312" w:hAnsi="仿宋_GB2312" w:eastAsia="仿宋_GB2312" w:cs="仿宋_GB2312"/>
          <w:snapToGrid w:val="0"/>
          <w:color w:val="auto"/>
          <w:sz w:val="32"/>
          <w:szCs w:val="22"/>
          <w:highlight w:val="none"/>
        </w:rPr>
        <w:t>.加强</w:t>
      </w:r>
      <w:r>
        <w:rPr>
          <w:rFonts w:hint="default" w:ascii="Times New Roman" w:hAnsi="Times New Roman" w:eastAsia="仿宋_GB2312" w:cs="Times New Roman"/>
          <w:snapToGrid w:val="0"/>
          <w:color w:val="auto"/>
          <w:sz w:val="32"/>
          <w:highlight w:val="none"/>
        </w:rPr>
        <w:t>资金监管力度，规范落实奖扶金发放，严格执行财政资金管理规定，强化平时督导，建立定期通报机制。加强资金管理使用，按季度/半年发放奖励金的县（市、区）争取逐步改为按月发放，切实维护计划生育家庭的合法权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sz w:val="32"/>
          <w:highlight w:val="none"/>
        </w:rPr>
        <w:t>3</w:t>
      </w:r>
      <w:r>
        <w:rPr>
          <w:rFonts w:hint="default" w:ascii="仿宋_GB2312" w:hAnsi="仿宋_GB2312" w:eastAsia="仿宋_GB2312" w:cs="仿宋_GB2312"/>
          <w:snapToGrid w:val="0"/>
          <w:color w:val="auto"/>
          <w:sz w:val="32"/>
          <w:szCs w:val="22"/>
          <w:highlight w:val="none"/>
        </w:rPr>
        <w:t>.针</w:t>
      </w:r>
      <w:r>
        <w:rPr>
          <w:rFonts w:hint="default" w:ascii="Times New Roman" w:hAnsi="Times New Roman" w:eastAsia="仿宋_GB2312" w:cs="Times New Roman"/>
          <w:snapToGrid w:val="0"/>
          <w:color w:val="auto"/>
          <w:sz w:val="32"/>
          <w:highlight w:val="none"/>
        </w:rPr>
        <w:t>对目前有部分群众认为奖扶标准偏低，希望进一步提高奖扶标准的反映。我</w:t>
      </w:r>
      <w:r>
        <w:rPr>
          <w:rFonts w:hint="default" w:ascii="Times New Roman" w:hAnsi="Times New Roman" w:eastAsia="仿宋_GB2312" w:cs="Times New Roman"/>
          <w:snapToGrid w:val="0"/>
          <w:color w:val="auto"/>
          <w:sz w:val="32"/>
          <w:highlight w:val="none"/>
          <w:lang w:val="en-US" w:eastAsia="zh-CN"/>
        </w:rPr>
        <w:t>省</w:t>
      </w:r>
      <w:r>
        <w:rPr>
          <w:rFonts w:hint="default" w:ascii="Times New Roman" w:hAnsi="Times New Roman" w:eastAsia="仿宋_GB2312" w:cs="Times New Roman"/>
          <w:snapToGrid w:val="0"/>
          <w:color w:val="auto"/>
          <w:sz w:val="32"/>
          <w:highlight w:val="none"/>
        </w:rPr>
        <w:t>将按照国家工作部署，结合实际，专项研究</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想方设法</w:t>
      </w:r>
      <w:r>
        <w:rPr>
          <w:rFonts w:hint="default" w:ascii="Times New Roman" w:hAnsi="Times New Roman" w:eastAsia="仿宋_GB2312" w:cs="Times New Roman"/>
          <w:snapToGrid w:val="0"/>
          <w:color w:val="auto"/>
          <w:sz w:val="32"/>
          <w:highlight w:val="none"/>
        </w:rPr>
        <w:t>提高各项奖励扶助的标准。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lang w:val="en-US" w:eastAsia="zh-CN"/>
        </w:rPr>
        <w:t>五、</w:t>
      </w:r>
      <w:r>
        <w:rPr>
          <w:rFonts w:hint="default" w:ascii="Times New Roman" w:hAnsi="Times New Roman" w:eastAsia="黑体" w:cs="Times New Roman"/>
          <w:bCs/>
          <w:snapToGrid w:val="0"/>
          <w:color w:val="auto"/>
          <w:sz w:val="32"/>
          <w:szCs w:val="32"/>
          <w:highlight w:val="none"/>
        </w:rPr>
        <w:t>绩效自评结果拟应用和公开情况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（一）绩效自评结果拟应用。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snapToGrid w:val="0"/>
          <w:color w:val="auto"/>
          <w:sz w:val="32"/>
          <w:szCs w:val="32"/>
          <w:highlight w:val="none"/>
          <w:lang w:eastAsia="zh-CN"/>
        </w:rPr>
      </w:pPr>
      <w:r>
        <w:rPr>
          <w:rFonts w:hint="default" w:ascii="Times New Roman" w:hAnsi="Times New Roman" w:eastAsia="仿宋_GB2312" w:cs="Times New Roman"/>
          <w:bCs/>
          <w:snapToGrid w:val="0"/>
          <w:color w:val="auto"/>
          <w:sz w:val="32"/>
          <w:szCs w:val="32"/>
          <w:highlight w:val="none"/>
          <w:lang w:val="en-US" w:eastAsia="zh-CN"/>
        </w:rPr>
        <w:t>将本次绩效自评过程中发现的问题进行归纳总结，督促各地各单位限期整改。同时，</w:t>
      </w:r>
      <w:r>
        <w:rPr>
          <w:rFonts w:hint="default" w:ascii="Times New Roman" w:hAnsi="Times New Roman" w:eastAsia="仿宋_GB2312" w:cs="Times New Roman"/>
          <w:b w:val="0"/>
          <w:bCs/>
          <w:snapToGrid w:val="0"/>
          <w:color w:val="auto"/>
          <w:sz w:val="32"/>
          <w:szCs w:val="32"/>
          <w:highlight w:val="none"/>
          <w:lang w:val="en-US" w:eastAsia="zh-CN"/>
        </w:rPr>
        <w:t>拟将</w:t>
      </w:r>
      <w:r>
        <w:rPr>
          <w:rFonts w:hint="default" w:ascii="Times New Roman" w:hAnsi="Times New Roman" w:eastAsia="仿宋_GB2312" w:cs="Times New Roman"/>
          <w:b w:val="0"/>
          <w:bCs/>
          <w:snapToGrid w:val="0"/>
          <w:color w:val="auto"/>
          <w:sz w:val="32"/>
          <w:szCs w:val="32"/>
          <w:highlight w:val="none"/>
        </w:rPr>
        <w:t>绩效自评结果</w:t>
      </w:r>
      <w:r>
        <w:rPr>
          <w:rFonts w:hint="default" w:ascii="Times New Roman" w:hAnsi="Times New Roman" w:eastAsia="仿宋_GB2312" w:cs="Times New Roman"/>
          <w:b w:val="0"/>
          <w:bCs/>
          <w:snapToGrid w:val="0"/>
          <w:color w:val="auto"/>
          <w:sz w:val="32"/>
          <w:szCs w:val="32"/>
          <w:highlight w:val="none"/>
          <w:lang w:eastAsia="zh-CN"/>
        </w:rPr>
        <w:t>与</w:t>
      </w:r>
      <w:r>
        <w:rPr>
          <w:rFonts w:hint="default" w:ascii="Times New Roman" w:hAnsi="Times New Roman" w:eastAsia="仿宋_GB2312" w:cs="Times New Roman"/>
          <w:b w:val="0"/>
          <w:bCs/>
          <w:snapToGrid w:val="0"/>
          <w:color w:val="auto"/>
          <w:sz w:val="32"/>
          <w:szCs w:val="32"/>
          <w:highlight w:val="none"/>
          <w:lang w:val="en-US" w:eastAsia="zh-CN"/>
        </w:rPr>
        <w:t>下一年度中央</w:t>
      </w:r>
      <w:r>
        <w:rPr>
          <w:rFonts w:hint="default" w:ascii="Times New Roman" w:hAnsi="Times New Roman" w:eastAsia="仿宋_GB2312" w:cs="Times New Roman"/>
          <w:b w:val="0"/>
          <w:bCs/>
          <w:snapToGrid w:val="0"/>
          <w:color w:val="auto"/>
          <w:sz w:val="32"/>
          <w:szCs w:val="32"/>
          <w:highlight w:val="none"/>
          <w:lang w:eastAsia="zh-CN"/>
        </w:rPr>
        <w:t>财政补助资金安排挂钩</w:t>
      </w:r>
      <w:r>
        <w:rPr>
          <w:rFonts w:hint="default" w:ascii="Times New Roman" w:hAnsi="Times New Roman" w:eastAsia="仿宋_GB2312" w:cs="Times New Roman"/>
          <w:b w:val="0"/>
          <w:bCs w:val="0"/>
          <w:snapToGrid w:val="0"/>
          <w:color w:val="auto"/>
          <w:sz w:val="32"/>
          <w:szCs w:val="32"/>
          <w:highlight w:val="none"/>
        </w:rPr>
        <w:t>，确保落实相关工作。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（二）绩效自评结果拟公开情况。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bCs/>
          <w:snapToGrid w:val="0"/>
          <w:color w:val="auto"/>
          <w:kern w:val="0"/>
          <w:sz w:val="32"/>
          <w:szCs w:val="32"/>
          <w:highlight w:val="none"/>
          <w:lang w:val="en-US" w:eastAsia="zh-CN" w:bidi="ar"/>
        </w:rPr>
      </w:pPr>
      <w:r>
        <w:rPr>
          <w:rFonts w:hint="default" w:ascii="Times New Roman" w:hAnsi="Times New Roman" w:eastAsia="仿宋_GB2312" w:cs="Times New Roman"/>
          <w:bCs/>
          <w:snapToGrid w:val="0"/>
          <w:color w:val="auto"/>
          <w:kern w:val="0"/>
          <w:sz w:val="32"/>
          <w:szCs w:val="32"/>
          <w:highlight w:val="none"/>
          <w:lang w:val="en-US" w:eastAsia="zh-CN" w:bidi="ar"/>
        </w:rPr>
        <w:t>按政府信息公开要求</w:t>
      </w:r>
      <w:r>
        <w:rPr>
          <w:rFonts w:hint="eastAsia" w:ascii="Times New Roman" w:hAnsi="Times New Roman" w:cs="Times New Roman"/>
          <w:bCs/>
          <w:snapToGrid w:val="0"/>
          <w:color w:val="auto"/>
          <w:kern w:val="0"/>
          <w:sz w:val="32"/>
          <w:szCs w:val="32"/>
          <w:highlight w:val="none"/>
          <w:lang w:val="en-US" w:eastAsia="zh-CN" w:bidi="ar"/>
        </w:rPr>
        <w:t>，</w:t>
      </w:r>
      <w:r>
        <w:rPr>
          <w:rFonts w:hint="default" w:ascii="Times New Roman" w:hAnsi="Times New Roman" w:eastAsia="仿宋_GB2312" w:cs="Times New Roman"/>
          <w:bCs/>
          <w:snapToGrid w:val="0"/>
          <w:color w:val="auto"/>
          <w:kern w:val="0"/>
          <w:sz w:val="32"/>
          <w:szCs w:val="32"/>
          <w:highlight w:val="none"/>
          <w:lang w:val="en-US" w:eastAsia="zh-CN" w:bidi="ar"/>
        </w:rPr>
        <w:t>本绩效自评报告拟在广东省卫生健康委门户网站（http://wsjkw.gd.gov.cn/)主动公示，自觉接受社会及公众监督。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lang w:val="en-US" w:eastAsia="zh-CN"/>
        </w:rPr>
        <w:t>六</w:t>
      </w:r>
      <w:r>
        <w:rPr>
          <w:rFonts w:hint="default" w:ascii="Times New Roman" w:hAnsi="Times New Roman" w:eastAsia="黑体" w:cs="Times New Roman"/>
          <w:bCs/>
          <w:snapToGrid w:val="0"/>
          <w:color w:val="auto"/>
          <w:sz w:val="32"/>
          <w:szCs w:val="32"/>
          <w:highlight w:val="none"/>
        </w:rPr>
        <w:t>、其他需要说明的问题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无</w:t>
      </w:r>
    </w:p>
    <w:p>
      <w:pPr>
        <w:keepNext w:val="0"/>
        <w:keepLines w:val="0"/>
        <w:pageBreakBefore w:val="0"/>
        <w:widowControl w:val="0"/>
        <w:tabs>
          <w:tab w:val="center" w:pos="4153"/>
          <w:tab w:val="right" w:pos="8306"/>
        </w:tabs>
        <w:kinsoku/>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napToGrid w:val="0"/>
          <w:color w:val="auto"/>
          <w:kern w:val="2"/>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agYAdUAAAAHAQAADwAAAAAAAAABACAAAAAiAAAA&#10;ZHJzL2Rvd25yZXYueG1sUEsBAhQAFAAAAAgAh07iQCyUNvDRAQAAogMAAA4AAAAAAAAAAQAgAAAA&#10;JAEAAGRycy9lMm9Eb2MueG1sUEsFBgAAAAAGAAYAWQEAAGcFAAAAAA==&#10;">
              <v:fill on="f" focussize="0,0"/>
              <v:stroke on="f" weight="0.5pt"/>
              <v:imagedata o:title=""/>
              <o:lock v:ext="edit" aspectratio="f"/>
              <v:textbox inset="0mm,0mm,0mm,0mm" style="mso-fit-shape-to-text:t;">
                <w:txbxContent>
                  <w:p>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- 2 -</w:t>
                          </w:r>
                          <w:r>
                            <w:rPr>
                              <w:rFonts w:hint="eastAsia" w:ascii="仿宋_GB2312" w:hAnsi="仿宋_GB2312" w:eastAsia="仿宋_GB2312"/>
                              <w:sz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60288;mso-width-relative:page;mso-height-relative:page;" filled="f" stroked="f" coordsize="21600,21600" o:gfxdata="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8xuljXAAAABwEAAA8AAAAAAAAAAQAgAAAAIgAA&#10;AGRycy9kb3ducmV2LnhtbFBLAQIUABQAAAAIAIdO4kBgcnE80AEAAKMDAAAOAAAAAAAAAAEAIAAA&#10;ACYBAABkcnMvZTJvRG9jLnhtbFBLBQYAAAAABgAGAFkBAABoBQAAAAA=&#10;">
              <v:fill on="f" focussize="0,0"/>
              <v:stroke on="f" weight="1.25pt"/>
              <v:imagedata o:title=""/>
              <o:lock v:ext="edit" aspectratio="f"/>
              <v:textbox inset="0mm,0mm,0mm,0mm" style="mso-fit-shape-to-text:t;">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- 2 -</w:t>
                    </w:r>
                    <w:r>
                      <w:rPr>
                        <w:rFonts w:hint="eastAsia" w:ascii="仿宋_GB2312" w:hAnsi="仿宋_GB2312" w:eastAsia="仿宋_GB2312"/>
                        <w:sz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17CD18B5"/>
    <w:rsid w:val="17CD18B5"/>
    <w:rsid w:val="28864D92"/>
    <w:rsid w:val="384047E1"/>
    <w:rsid w:val="50A3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annotation text"/>
    <w:basedOn w:val="1"/>
    <w:uiPriority w:val="0"/>
    <w:pPr>
      <w:jc w:val="left"/>
    </w:pPr>
    <w:rPr>
      <w:rFonts w:ascii="Times New Roman" w:hAnsi="Times New Roman" w:eastAsia="仿宋_GB2312" w:cs="Times New Roman"/>
      <w:sz w:val="32"/>
      <w:szCs w:val="24"/>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6" Type="http://schemas.microsoft.com/office/2011/relationships/chartColorStyle" Target="colors1.xml"/><Relationship Id="rId5" Type="http://schemas.microsoft.com/office/2011/relationships/chartStyle" Target="style1.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M:\&#39044;&#31639;&#32489;&#25928;&#31649;&#29702;\&#32489;&#25928;&#35780;&#20215;\2023&#24180;\&#31532;&#20108;&#25209;&#20013;&#22830;&#39033;&#30446;\&#35745;&#21010;&#29983;&#32946;\&#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altLang="en-US">
                <a:latin typeface="宋体" panose="02010600030101010101" charset="-122"/>
                <a:ea typeface="宋体" panose="02010600030101010101" charset="-122"/>
              </a:rPr>
              <a:t>金额单位：万元</a:t>
            </a:r>
            <a:endParaRPr lang="en-US" altLang="en-US">
              <a:latin typeface="宋体" panose="02010600030101010101" charset="-122"/>
              <a:ea typeface="宋体" panose="02010600030101010101" charset="-122"/>
            </a:endParaRPr>
          </a:p>
        </c:rich>
      </c:tx>
      <c:layout>
        <c:manualLayout>
          <c:xMode val="edge"/>
          <c:yMode val="edge"/>
          <c:x val="0.747081678640243"/>
          <c:y val="0.0164089266852723"/>
        </c:manualLayout>
      </c:layout>
      <c:overlay val="0"/>
      <c:spPr>
        <a:noFill/>
        <a:ln>
          <a:noFill/>
        </a:ln>
        <a:effectLst/>
      </c:spPr>
    </c:title>
    <c:autoTitleDeleted val="0"/>
    <c:plotArea>
      <c:layout/>
      <c:barChart>
        <c:barDir val="col"/>
        <c:grouping val="clustered"/>
        <c:varyColors val="0"/>
        <c:ser>
          <c:idx val="0"/>
          <c:order val="0"/>
          <c:tx>
            <c:strRef>
              <c:f>[统计表.xlsx]配套资金及执行情况!$C$4</c:f>
              <c:strCache>
                <c:ptCount val="1"/>
                <c:pt idx="0">
                  <c:v>全年预算数（A）</c:v>
                </c:pt>
              </c:strCache>
            </c:strRef>
          </c:tx>
          <c:spPr>
            <a:blipFill rotWithShape="1">
              <a:blip xmlns:r="http://schemas.openxmlformats.org/officeDocument/2006/relationships" r:embed="rId3"/>
              <a:stretch>
                <a:fillRect/>
              </a:stretch>
            </a:blipFill>
            <a:ln>
              <a:noFill/>
            </a:ln>
            <a:effectLst/>
          </c:spPr>
          <c:invertIfNegative val="0"/>
          <c:dLbls>
            <c:delete val="1"/>
          </c:dLbls>
          <c:cat>
            <c:strRef>
              <c:f>[统计表.xlsx]配套资金及执行情况!$B$5:$B$10</c:f>
              <c:strCache>
                <c:ptCount val="6"/>
                <c:pt idx="0">
                  <c:v>合计</c:v>
                </c:pt>
                <c:pt idx="1">
                  <c:v>中央资金</c:v>
                </c:pt>
                <c:pt idx="2">
                  <c:v>省级资金</c:v>
                </c:pt>
                <c:pt idx="3">
                  <c:v>市级资金</c:v>
                </c:pt>
                <c:pt idx="4">
                  <c:v>县级资金</c:v>
                </c:pt>
                <c:pt idx="5">
                  <c:v>其他资金（自筹）</c:v>
                </c:pt>
              </c:strCache>
            </c:strRef>
          </c:cat>
          <c:val>
            <c:numRef>
              <c:f>[统计表.xlsx]配套资金及执行情况!$C$5:$C$10</c:f>
              <c:numCache>
                <c:formatCode>0.00_ ;[Red]\-0.00\ </c:formatCode>
                <c:ptCount val="6"/>
                <c:pt idx="0">
                  <c:v>96885.07213</c:v>
                </c:pt>
                <c:pt idx="1">
                  <c:v>10312</c:v>
                </c:pt>
                <c:pt idx="2">
                  <c:v>31857.36</c:v>
                </c:pt>
                <c:pt idx="3">
                  <c:v>11467.0275</c:v>
                </c:pt>
                <c:pt idx="4">
                  <c:v>38648.86863</c:v>
                </c:pt>
                <c:pt idx="5">
                  <c:v>4599.816</c:v>
                </c:pt>
              </c:numCache>
            </c:numRef>
          </c:val>
        </c:ser>
        <c:ser>
          <c:idx val="1"/>
          <c:order val="1"/>
          <c:tx>
            <c:strRef>
              <c:f>[统计表.xlsx]配套资金及执行情况!$D$4</c:f>
              <c:strCache>
                <c:ptCount val="1"/>
                <c:pt idx="0">
                  <c:v>全年执行数（B）</c:v>
                </c:pt>
              </c:strCache>
            </c:strRef>
          </c:tx>
          <c:spPr>
            <a:blipFill rotWithShape="1">
              <a:blip xmlns:r="http://schemas.openxmlformats.org/officeDocument/2006/relationships" r:embed="rId4"/>
              <a:stretch>
                <a:fillRect/>
              </a:stretch>
            </a:blipFill>
            <a:ln w="31750" cap="rnd">
              <a:noFill/>
              <a:round/>
            </a:ln>
            <a:effectLst/>
          </c:spPr>
          <c:invertIfNegative val="0"/>
          <c:dLbls>
            <c:delete val="1"/>
          </c:dLbls>
          <c:cat>
            <c:strRef>
              <c:f>[统计表.xlsx]配套资金及执行情况!$B$5:$B$10</c:f>
              <c:strCache>
                <c:ptCount val="6"/>
                <c:pt idx="0">
                  <c:v>合计</c:v>
                </c:pt>
                <c:pt idx="1">
                  <c:v>中央资金</c:v>
                </c:pt>
                <c:pt idx="2">
                  <c:v>省级资金</c:v>
                </c:pt>
                <c:pt idx="3">
                  <c:v>市级资金</c:v>
                </c:pt>
                <c:pt idx="4">
                  <c:v>县级资金</c:v>
                </c:pt>
                <c:pt idx="5">
                  <c:v>其他资金（自筹）</c:v>
                </c:pt>
              </c:strCache>
            </c:strRef>
          </c:cat>
          <c:val>
            <c:numRef>
              <c:f>[统计表.xlsx]配套资金及执行情况!$D$5:$D$10</c:f>
              <c:numCache>
                <c:formatCode>0.00_ ;[Red]\-0.00\ </c:formatCode>
                <c:ptCount val="6"/>
                <c:pt idx="0">
                  <c:v>91977.40233</c:v>
                </c:pt>
                <c:pt idx="1">
                  <c:v>10112.65</c:v>
                </c:pt>
                <c:pt idx="2">
                  <c:v>27640.3</c:v>
                </c:pt>
                <c:pt idx="3">
                  <c:v>11417.4959</c:v>
                </c:pt>
                <c:pt idx="4">
                  <c:v>38207.13643</c:v>
                </c:pt>
                <c:pt idx="5">
                  <c:v>4599.82</c:v>
                </c:pt>
              </c:numCache>
            </c:numRef>
          </c:val>
        </c:ser>
        <c:dLbls>
          <c:showLegendKey val="0"/>
          <c:showVal val="1"/>
          <c:showCatName val="0"/>
          <c:showSerName val="0"/>
          <c:showPercent val="0"/>
          <c:showBubbleSize val="0"/>
        </c:dLbls>
        <c:gapWidth val="31"/>
        <c:overlap val="63"/>
        <c:axId val="150406658"/>
        <c:axId val="147912307"/>
      </c:barChart>
      <c:lineChart>
        <c:grouping val="standard"/>
        <c:varyColors val="0"/>
        <c:ser>
          <c:idx val="2"/>
          <c:order val="2"/>
          <c:tx>
            <c:strRef>
              <c:f>[统计表.xlsx]配套资金及执行情况!$E$4</c:f>
              <c:strCache>
                <c:ptCount val="1"/>
                <c:pt idx="0">
                  <c:v>预算执行率（B/A)</c:v>
                </c:pt>
              </c:strCache>
            </c:strRef>
          </c:tx>
          <c:spPr>
            <a:ln w="28575" cap="rnd">
              <a:solidFill>
                <a:srgbClr val="FED005"/>
              </a:solidFill>
              <a:round/>
            </a:ln>
            <a:effectLst/>
          </c:spPr>
          <c:marker>
            <c:symbol val="circle"/>
            <c:size val="5"/>
            <c:spPr>
              <a:solidFill>
                <a:srgbClr val="FED005"/>
              </a:solidFill>
              <a:ln w="79375">
                <a:solidFill>
                  <a:srgbClr val="FED005">
                    <a:alpha val="50000"/>
                  </a:srgbClr>
                </a:solidFill>
              </a:ln>
              <a:effectLst/>
            </c:spPr>
          </c:marker>
          <c:dLbls>
            <c:dLbl>
              <c:idx val="0"/>
              <c:layout>
                <c:manualLayout>
                  <c:x val="0.00153154992852767"/>
                  <c:y val="-0.1099744245524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trendline>
            <c:spPr>
              <a:ln w="19050" cap="rnd">
                <a:solidFill>
                  <a:srgbClr val="A5A5A5"/>
                </a:solidFill>
                <a:prstDash val="sysDot"/>
              </a:ln>
              <a:effectLst/>
            </c:spPr>
            <c:trendlineType val="linear"/>
            <c:dispRSqr val="0"/>
            <c:dispEq val="0"/>
          </c:trendline>
          <c:cat>
            <c:strRef>
              <c:f>[统计表.xlsx]配套资金及执行情况!$B$5:$B$10</c:f>
              <c:strCache>
                <c:ptCount val="6"/>
                <c:pt idx="0">
                  <c:v>合计</c:v>
                </c:pt>
                <c:pt idx="1">
                  <c:v>中央资金</c:v>
                </c:pt>
                <c:pt idx="2">
                  <c:v>省级资金</c:v>
                </c:pt>
                <c:pt idx="3">
                  <c:v>市级资金</c:v>
                </c:pt>
                <c:pt idx="4">
                  <c:v>县级资金</c:v>
                </c:pt>
                <c:pt idx="5">
                  <c:v>其他资金（自筹）</c:v>
                </c:pt>
              </c:strCache>
            </c:strRef>
          </c:cat>
          <c:val>
            <c:numRef>
              <c:f>[统计表.xlsx]配套资金及执行情况!$E$5:$E$10</c:f>
              <c:numCache>
                <c:formatCode>0.00%</c:formatCode>
                <c:ptCount val="6"/>
                <c:pt idx="0">
                  <c:v>0.94934544928227</c:v>
                </c:pt>
                <c:pt idx="1">
                  <c:v>0.980668153607448</c:v>
                </c:pt>
                <c:pt idx="2">
                  <c:v>0.867626821557091</c:v>
                </c:pt>
                <c:pt idx="3">
                  <c:v>0.995680519646438</c:v>
                </c:pt>
                <c:pt idx="4">
                  <c:v>0.988570630508518</c:v>
                </c:pt>
                <c:pt idx="5">
                  <c:v>1.0000008696</c:v>
                </c:pt>
              </c:numCache>
            </c:numRef>
          </c:val>
          <c:smooth val="0"/>
        </c:ser>
        <c:dLbls>
          <c:showLegendKey val="0"/>
          <c:showVal val="1"/>
          <c:showCatName val="0"/>
          <c:showSerName val="0"/>
          <c:showPercent val="0"/>
          <c:showBubbleSize val="0"/>
        </c:dLbls>
        <c:marker val="1"/>
        <c:smooth val="0"/>
        <c:axId val="610282175"/>
        <c:axId val="406786160"/>
      </c:lineChart>
      <c:catAx>
        <c:axId val="150406658"/>
        <c:scaling>
          <c:orientation val="minMax"/>
        </c:scaling>
        <c:delete val="0"/>
        <c:axPos val="b"/>
        <c:numFmt formatCode="General" sourceLinked="1"/>
        <c:majorTickMark val="none"/>
        <c:minorTickMark val="none"/>
        <c:tickLblPos val="nextTo"/>
        <c:spPr>
          <a:noFill/>
          <a:ln w="9525" cap="flat" cmpd="sng" algn="ctr">
            <a:solidFill>
              <a:sysClr val="window" lastClr="FFFFFF"/>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47912307"/>
        <c:crosses val="autoZero"/>
        <c:auto val="1"/>
        <c:lblAlgn val="ctr"/>
        <c:lblOffset val="100"/>
        <c:noMultiLvlLbl val="0"/>
      </c:catAx>
      <c:valAx>
        <c:axId val="147912307"/>
        <c:scaling>
          <c:orientation val="minMax"/>
        </c:scaling>
        <c:delete val="0"/>
        <c:axPos val="l"/>
        <c:numFmt formatCode="0.00_ ;[Red]\-0.00\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50406658"/>
        <c:crosses val="autoZero"/>
        <c:crossBetween val="between"/>
      </c:valAx>
      <c:catAx>
        <c:axId val="610282175"/>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406786160"/>
        <c:crosses val="autoZero"/>
        <c:auto val="1"/>
        <c:lblAlgn val="ctr"/>
        <c:lblOffset val="100"/>
        <c:noMultiLvlLbl val="0"/>
      </c:catAx>
      <c:valAx>
        <c:axId val="406786160"/>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10282175"/>
        <c:crosses val="max"/>
        <c:crossBetween val="between"/>
      </c:valAx>
      <c:dTable>
        <c:showHorzBorder val="1"/>
        <c:showVertBorder val="1"/>
        <c:showOutline val="1"/>
        <c:showKeys val="1"/>
        <c:spPr>
          <a:noFill/>
          <a:ln w="9525" cap="flat" cmpd="sng" algn="ctr">
            <a:solidFill>
              <a:sysClr val="windowText" lastClr="000000">
                <a:lumMod val="15000"/>
                <a:lumOff val="85000"/>
              </a:sysClr>
            </a:solidFill>
            <a:round/>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Table>
      <c:spPr>
        <a:noFill/>
        <a:ln>
          <a:noFill/>
        </a:ln>
        <a:effectLst/>
      </c:spPr>
    </c:plotArea>
    <c:plotVisOnly val="1"/>
    <c:dispBlanksAs val="gap"/>
    <c:showDLblsOverMax val="0"/>
  </c:chart>
  <c:spPr>
    <a:solidFill>
      <a:srgbClr val="F3F6FD"/>
    </a:solidFill>
    <a:ln w="9525" cap="flat" cmpd="sng" algn="ctr">
      <a:solidFill>
        <a:sysClr val="windowText" lastClr="000000">
          <a:lumMod val="15000"/>
          <a:lumOff val="85000"/>
        </a:sys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rgbClr val="FFFFFF"/>
        </a:solidFill>
        <a:round/>
      </a:ln>
    </cs:spPr>
  </cs:dataPointLine>
  <cs:dataPointMarker>
    <cs:lnRef idx="0">
      <cs:styleClr val="auto"/>
    </cs:lnRef>
    <cs:fillRef idx="1">
      <cs:styleClr val="auto"/>
    </cs:fillRef>
    <cs:effectRef idx="0"/>
    <cs:fontRef idx="minor">
      <a:sysClr val="windowText" lastClr="000000"/>
    </cs:fontRef>
    <cs:spPr>
      <a:ln w="9525">
        <a:solidFill>
          <a:srgbClr val="FFFFFF"/>
        </a:solidFill>
      </a:ln>
    </cs:spPr>
  </cs:dataPointMarker>
  <cs:dataPointMarkerLayout symbol="circle" size="5"/>
  <cs:dataPointWireframe>
    <cs:lnRef idx="0">
      <cs:styleClr val="auto"/>
    </cs:lnRef>
    <cs:fillRef idx="1"/>
    <cs:effectRef idx="0"/>
    <cs:fontRef idx="minor">
      <a:sysClr val="windowText" lastClr="000000"/>
    </cs:fontRef>
    <cs:spPr>
      <a:ln w="9525" cap="rnd">
        <a:solidFill>
          <a:srgbClr val="FFFFFF"/>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rgbClr val="FFFFFF"/>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9487</Words>
  <Characters>12818</Characters>
  <Lines>0</Lines>
  <Paragraphs>0</Paragraphs>
  <TotalTime>2</TotalTime>
  <ScaleCrop>false</ScaleCrop>
  <LinksUpToDate>false</LinksUpToDate>
  <CharactersWithSpaces>12855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2023-07-04T03:18:00Z</dcterms:created>
  <dc:creator>西门</dc:creator>
  <cp:lastModifiedBy>西门</cp:lastModifiedBy>
  <dcterms:modified xsi:type="dcterms:W3CDTF">2023-07-04T03:27:22Z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E556AF44056A44749B374F3DCC67BE82_11</vt:lpwstr>
  </property>
</Properties>
</file>