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 w:val="0"/>
        <w:topLinePunct w:val="0"/>
        <w:autoSpaceDE w:val="0"/>
        <w:autoSpaceDN/>
        <w:bidi w:val="0"/>
        <w:adjustRightInd/>
        <w:snapToGrid/>
        <w:spacing w:before="0" w:beforeLines="0" w:after="0" w:afterLines="0" w:line="560" w:lineRule="exact"/>
        <w:ind w:left="0" w:firstLine="0"/>
        <w:textAlignment w:val="baseline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 xml:space="preserve">3  </w:t>
      </w:r>
    </w:p>
    <w:p>
      <w:pPr>
        <w:pStyle w:val="7"/>
        <w:keepNext w:val="0"/>
        <w:keepLines w:val="0"/>
        <w:pageBreakBefore w:val="0"/>
        <w:widowControl/>
        <w:kinsoku/>
        <w:topLinePunct w:val="0"/>
        <w:autoSpaceDE w:val="0"/>
        <w:bidi w:val="0"/>
        <w:adjustRightInd/>
        <w:snapToGrid/>
        <w:spacing w:line="560" w:lineRule="exact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 w:val="0"/>
        <w:topLinePunct w:val="0"/>
        <w:autoSpaceDE w:val="0"/>
        <w:autoSpaceDN/>
        <w:bidi w:val="0"/>
        <w:adjustRightInd/>
        <w:snapToGrid/>
        <w:spacing w:before="0" w:beforeLines="0" w:after="0" w:afterLines="0" w:line="700" w:lineRule="exact"/>
        <w:ind w:left="0" w:firstLine="0"/>
        <w:jc w:val="center"/>
        <w:textAlignment w:val="baseline"/>
        <w:rPr>
          <w:rFonts w:hint="default" w:ascii="Times New Roman" w:hAnsi="Times New Roman" w:cs="Times New Roman"/>
          <w:snapToGrid w:val="0"/>
          <w:color w:val="auto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  <w:lang w:val="en-US" w:eastAsia="zh-CN"/>
        </w:rPr>
        <w:t>老年人个性化家庭医生签约服务项目参考标准</w:t>
      </w:r>
    </w:p>
    <w:bookmarkEnd w:id="0"/>
    <w:p>
      <w:pPr>
        <w:pStyle w:val="7"/>
        <w:keepNext w:val="0"/>
        <w:keepLines w:val="0"/>
        <w:pageBreakBefore w:val="0"/>
        <w:kinsoku/>
        <w:topLinePunct w:val="0"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topLinePunct w:val="0"/>
        <w:bidi w:val="0"/>
        <w:adjustRightInd/>
        <w:snapToGrid/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说明：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我省城乡家庭医生签约服务实行分类签约、有偿签约、差别化签约。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按照服务内容，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家庭医生签约服务包分为基本服务包（含基本医疗服务项目、基本公共卫生服务项目）及个性化服务包。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按照费用标准，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每类人群的服务包又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可细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分为免费包（即该类人群的基本公共卫生服务包）、初级包、中级包、高级包等4个档次，以满足多层次的健康需求。签约居民视自身需求自愿选择签约一种或多种类型服务包。收付费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管理详见《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广东省家庭医生签约服务包收付费的指导意见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粤卫〔2016〕111号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以下项目根据各地现行个性化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服务整理，供各地参考使用。各地可结合实际需求进一步调整完善。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topLinePunct w:val="0"/>
        <w:bidi w:val="0"/>
        <w:adjustRightInd/>
        <w:snapToGrid/>
        <w:spacing w:before="0" w:beforeLines="0" w:after="0" w:afterLines="0" w:line="560" w:lineRule="exact"/>
        <w:ind w:left="0" w:firstLine="640" w:firstLineChars="200"/>
        <w:jc w:val="both"/>
        <w:rPr>
          <w:rFonts w:hint="default" w:ascii="Times New Roman" w:hAnsi="Times New Roman" w:eastAsia="黑体" w:cs="Times New Roman"/>
          <w:snapToGrid w:val="0"/>
          <w:color w:val="000000"/>
          <w:position w:val="0"/>
          <w:szCs w:val="2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position w:val="0"/>
          <w:sz w:val="32"/>
          <w:szCs w:val="32"/>
          <w:lang w:val="en-US" w:eastAsia="zh-CN"/>
        </w:rPr>
        <w:t>项目1</w:t>
      </w:r>
      <w:r>
        <w:rPr>
          <w:rFonts w:hint="default" w:ascii="Times New Roman" w:hAnsi="Times New Roman" w:eastAsia="楷体_GB2312" w:cs="Times New Roman"/>
          <w:b w:val="0"/>
          <w:bCs w:val="0"/>
          <w:snapToGrid w:val="0"/>
          <w:color w:val="auto"/>
          <w:positio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napToGrid w:val="0"/>
          <w:color w:val="auto"/>
          <w:positio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napToGrid w:val="0"/>
          <w:color w:val="auto"/>
          <w:position w:val="0"/>
          <w:sz w:val="32"/>
          <w:szCs w:val="32"/>
          <w:lang w:val="en-US" w:eastAsia="zh-CN"/>
        </w:rPr>
        <w:t>冠心病保健服务</w:t>
      </w:r>
      <w:r>
        <w:rPr>
          <w:rFonts w:hint="default" w:ascii="Times New Roman" w:hAnsi="Times New Roman" w:cs="Times New Roman"/>
          <w:snapToGrid w:val="0"/>
          <w:color w:val="auto"/>
          <w:position w:val="0"/>
          <w:sz w:val="32"/>
          <w:szCs w:val="32"/>
          <w:lang w:val="en-US" w:eastAsia="zh-CN"/>
        </w:rPr>
        <w:t>项目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840"/>
          <w:tab w:val="left" w:pos="1260"/>
        </w:tabs>
        <w:kinsoku/>
        <w:topLinePunct w:val="0"/>
        <w:bidi w:val="0"/>
        <w:adjustRightInd/>
        <w:snapToGrid/>
        <w:spacing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snapToGrid w:val="0"/>
          <w:position w:val="0"/>
          <w:sz w:val="32"/>
          <w:szCs w:val="32"/>
          <w:lang w:val="en-US" w:eastAsia="zh-CN" w:bidi="ar-SA"/>
        </w:rPr>
        <w:t>（一）必选项目。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血脂四项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血清总胆固醇测定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血清甘油三酯测定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血清高密度脂蛋白胆固醇测定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血清低密度脂蛋白胆固醇测定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电解质三项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钾测定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钠测定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氯测定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常规心电图检查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840"/>
          <w:tab w:val="left" w:pos="1260"/>
        </w:tabs>
        <w:kinsoku/>
        <w:topLinePunct w:val="0"/>
        <w:bidi w:val="0"/>
        <w:adjustRightInd/>
        <w:snapToGrid/>
        <w:spacing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snapToGrid w:val="0"/>
          <w:position w:val="0"/>
          <w:sz w:val="32"/>
          <w:szCs w:val="32"/>
          <w:lang w:val="en-US" w:eastAsia="zh-CN" w:bidi="ar-SA"/>
        </w:rPr>
        <w:t>（二）自选项目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心六酶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血清肌酸激酶测定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血清肌酸激酶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-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position w:val="0"/>
          <w:sz w:val="32"/>
          <w:szCs w:val="32"/>
        </w:rPr>
        <w:t>MB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同工酶活性测定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乳酸脱氢酶测定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血清乳酸脱氢酶同工酶电泳分析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血清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position w:val="0"/>
          <w:sz w:val="32"/>
          <w:szCs w:val="32"/>
        </w:rPr>
        <w:t>α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羟基丁酸脱氢酶测定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血清天门冬氨酸氨基转移酶测定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肝功四项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血清丙氨酸氨基转移酶测定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血清天门冬氨酸氨基转移酶测定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血清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position w:val="0"/>
          <w:sz w:val="32"/>
          <w:szCs w:val="32"/>
        </w:rPr>
        <w:t>γ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-谷氨酰基转移酶测定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血清碱性磷酸酶测定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生化四项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葡萄糖测定（血清）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血清尿酸测定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肌酐测定（血清）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尿素测定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肝胆脾胰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position w:val="0"/>
          <w:sz w:val="32"/>
          <w:szCs w:val="32"/>
        </w:rPr>
        <w:t>B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超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position w:val="0"/>
          <w:sz w:val="32"/>
          <w:szCs w:val="32"/>
        </w:rPr>
        <w:t>B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超常规检查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超声计算机图文报告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双肾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膀胱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position w:val="0"/>
          <w:sz w:val="32"/>
          <w:szCs w:val="32"/>
        </w:rPr>
        <w:t>B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超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position w:val="0"/>
          <w:sz w:val="32"/>
          <w:szCs w:val="32"/>
        </w:rPr>
        <w:t>B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超常规检查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超声计算机图文报告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颈动脉彩超（双侧颈总、颈内、颈外动脉）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颈部血管彩色多普勒超声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超声计算机图文报告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心脏彩超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经胸心脏彩色多普勒超声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左心功能测定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组织多普勒显象</w:t>
      </w:r>
      <w:r>
        <w:rPr>
          <w:rFonts w:hint="default" w:ascii="Times New Roman" w:hAnsi="Times New Roman" w:cs="Times New Roman"/>
          <w:snapToGrid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position w:val="0"/>
          <w:sz w:val="32"/>
          <w:szCs w:val="32"/>
        </w:rPr>
        <w:t>TDI</w:t>
      </w:r>
      <w:r>
        <w:rPr>
          <w:rFonts w:hint="default" w:ascii="Times New Roman" w:hAnsi="Times New Roman" w:cs="Times New Roman"/>
          <w:snapToGrid w:val="0"/>
          <w:color w:val="000000"/>
          <w:kern w:val="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超声计算机图文报告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snapToGrid w:val="0"/>
          <w:positio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胸部正侧位片（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position w:val="0"/>
          <w:sz w:val="32"/>
          <w:szCs w:val="32"/>
        </w:rPr>
        <w:t>DR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eastAsia="zh-CN"/>
        </w:rPr>
        <w:t>；</w:t>
      </w:r>
    </w:p>
    <w:p>
      <w:pPr>
        <w:numPr>
          <w:ilvl w:val="0"/>
          <w:numId w:val="0"/>
        </w:numPr>
        <w:tabs>
          <w:tab w:val="left" w:pos="840"/>
          <w:tab w:val="left" w:pos="1260"/>
        </w:tabs>
        <w:bidi w:val="0"/>
        <w:spacing w:beforeLines="0" w:afterLines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楷体_GB2312" w:cs="Times New Roman"/>
          <w:snapToGrid w:val="0"/>
          <w:position w:val="0"/>
          <w:sz w:val="32"/>
          <w:szCs w:val="32"/>
          <w:lang w:val="en-US" w:eastAsia="zh-CN" w:bidi="ar-SA"/>
        </w:rPr>
        <w:t>三）赠送项目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冠心病高危因素评估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</w:rPr>
        <w:t>冠心病患者饮食和运动指导课</w:t>
      </w:r>
      <w:r>
        <w:rPr>
          <w:rFonts w:hint="default" w:ascii="Times New Roman" w:hAnsi="Times New Roman" w:eastAsia="仿宋_GB2312" w:cs="Times New Roman"/>
          <w:snapToGrid w:val="0"/>
          <w:position w:val="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tabs>
          <w:tab w:val="left" w:pos="840"/>
          <w:tab w:val="left" w:pos="1260"/>
        </w:tabs>
        <w:bidi w:val="0"/>
        <w:spacing w:beforeLines="0" w:afterLines="0" w:line="560" w:lineRule="exact"/>
        <w:ind w:left="0" w:leftChars="0" w:firstLine="640" w:firstLineChars="200"/>
        <w:jc w:val="both"/>
        <w:rPr>
          <w:rFonts w:hint="default" w:ascii="Times New Roman" w:hAnsi="Times New Roman" w:eastAsia="宋体" w:cs="Times New Roman"/>
          <w:color w:val="000000"/>
          <w:sz w:val="21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2  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 w:bidi="ar-SA"/>
        </w:rPr>
        <w:t>高血压动态管理服务项目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0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（一）必选项目。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心理状态评估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气质量表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宗氏焦虑自评量表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宗氏抑郁自评量表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中医健康调养咨询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0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（二）自选项目。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肾功检测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尿微量白蛋白测定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血清尿酸测定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肌酐测定（血清）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尿素测定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心酶五项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血清肌酸激酶测定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血清肌酸激酶-MB同工酶活性测定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乳酸脱氢酶测定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血清α羟基丁酸脱氢酶测定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血清天门冬氨酸氨基转移酶测定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电解质四项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钾测定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钠测定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氯测定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钙测定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血脂四项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血清总胆固醇测定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血清甘油三酯测定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血清高密度脂蛋白胆固醇测定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血清低密度脂蛋白胆固醇测定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肝功四项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血清丙氨酸氨基转移酶测定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血清天门冬氨酸氨基转移酶测定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血清γ-谷氨酰基转移酶测定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血清碱性磷酸酶测定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合并糖尿病筛查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葡萄糖测定（血清）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糖化血红蛋白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肝胆脾胰B超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B超常规检查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超声计算机图文报告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双肾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膀胱B超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B超常规检查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超声计算机图文报告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颈动脉彩超（双侧颈总、颈内、颈外动脉）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颈部血管彩色多普勒超声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超声计算机图文报告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动态血压监测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0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（三）赠送项目。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血压分级与心血管风险评估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GPRS远程血压计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监测</w:t>
      </w:r>
      <w:r>
        <w:rPr>
          <w:rFonts w:hint="default" w:ascii="Times New Roman" w:hAnsi="Times New Roman" w:cs="Times New Roman"/>
          <w:snapToGrid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每次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7天</w:t>
      </w:r>
      <w:r>
        <w:rPr>
          <w:rFonts w:hint="default" w:ascii="Times New Roman" w:hAnsi="Times New Roman" w:cs="Times New Roman"/>
          <w:snapToGrid w:val="0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优先预约医联体专家会诊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非急会诊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0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宋体" w:cs="Times New Roman"/>
          <w:snapToGrid w:val="0"/>
          <w:color w:val="000000"/>
          <w:kern w:val="0"/>
          <w:sz w:val="21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/>
        </w:rPr>
        <w:t>项目3</w:t>
      </w:r>
      <w:r>
        <w:rPr>
          <w:rFonts w:hint="default" w:ascii="Times New Roman" w:hAnsi="Times New Roman" w:cs="Times New Roman"/>
          <w:snapToGrid w:val="0"/>
          <w:color w:val="000000"/>
          <w:kern w:val="0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糖尿病患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-SA"/>
        </w:rPr>
        <w:t>者“护眼”服</w:t>
      </w: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务服务项目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0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（一）自选项目。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裂隙灯检查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裂隙灯下眼底检查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糖化血红蛋白测定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四肢动静脉彩超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上肢血管彩色多普勒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下肢血管彩色多普勒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超声计算机图文报告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0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lang w:eastAsia="zh-CN"/>
        </w:rPr>
        <w:t>）赠送项目</w:t>
      </w:r>
      <w:r>
        <w:rPr>
          <w:rFonts w:hint="default" w:ascii="Times New Roman" w:hAnsi="Times New Roman" w:eastAsia="楷体_GB2312" w:cs="Times New Roman"/>
          <w:snapToGrid w:val="0"/>
          <w:color w:val="000000"/>
          <w:kern w:val="0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糖尿病患者风险评估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时令体质辨识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中医体质辨识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时令个体健康咨询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优先预约就诊签约家庭医生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优先预约医联体或双向转诊医疗机构内专科号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糖尿病患者自我管理班课程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0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firstLine="0"/>
        <w:jc w:val="both"/>
        <w:textAlignment w:val="auto"/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/>
        </w:rPr>
        <w:t xml:space="preserve">项目4 </w:t>
      </w:r>
      <w:r>
        <w:rPr>
          <w:rFonts w:hint="default" w:ascii="Times New Roman" w:hAnsi="Times New Roman" w:cs="Times New Roman"/>
          <w:snapToGrid w:val="0"/>
          <w:color w:val="000000"/>
          <w:kern w:val="0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糖尿病足筛查管理个性化服务项目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0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（一）必选项目。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糖化血红蛋白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中医体质辨识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0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（二）自选项目。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微血管血糖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心酶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肌酸激酶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肌酸激酶同工酶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乳酸脱氢酶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LDH/HBDH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a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-羟丁酸脱氢酶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电解质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钾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钠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氯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钙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磷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感觉阈值测量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四肢多普勒血流图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下肢血管彩超（双下肢动静脉四组血管）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视情况选一侧或双侧肢体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耳穴贴压（双侧）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电针10穴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中药熏药治疗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气压治疗（双下肢）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（三）赠送项目。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健康咨询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糖尿病并发症评估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糖尿病足护理指导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糖尿病足健教课程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血糖自我监测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并发症自我筛查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药物使用指导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饮食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运动指导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中医调养指导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优先预约家庭医生门诊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优先预约医联体医院专科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NmI3NTdjZGQ2OWQzMjQyZTAwNzRhYjE4NjkyYWQifQ=="/>
  </w:docVars>
  <w:rsids>
    <w:rsidRoot w:val="2EDD6487"/>
    <w:rsid w:val="2EDD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 w:hAnsi="Times New Roman" w:eastAsia="宋体" w:cs="Times New Roman"/>
      <w:snapToGrid w:val="0"/>
      <w:kern w:val="0"/>
      <w:sz w:val="32"/>
      <w:szCs w:val="24"/>
      <w:lang w:bidi="ar-SA"/>
    </w:rPr>
  </w:style>
  <w:style w:type="paragraph" w:styleId="3">
    <w:name w:val="Title"/>
    <w:basedOn w:val="1"/>
    <w:next w:val="1"/>
    <w:uiPriority w:val="0"/>
    <w:pPr>
      <w:spacing w:before="240" w:after="60" w:line="420" w:lineRule="exact"/>
      <w:jc w:val="center"/>
      <w:outlineLvl w:val="0"/>
    </w:pPr>
    <w:rPr>
      <w:rFonts w:ascii="Cambria" w:hAnsi="Cambria" w:eastAsia="黑体" w:cs="Times New Roman"/>
      <w:bCs/>
      <w:snapToGrid w:val="0"/>
      <w:kern w:val="0"/>
      <w:sz w:val="24"/>
      <w:szCs w:val="32"/>
      <w:lang w:bidi="ar-SA"/>
    </w:rPr>
  </w:style>
  <w:style w:type="paragraph" w:customStyle="1" w:styleId="6">
    <w:name w:val="附录章标题"/>
    <w:next w:val="7"/>
    <w:qFormat/>
    <w:uiPriority w:val="0"/>
    <w:pPr>
      <w:numPr>
        <w:ilvl w:val="1"/>
        <w:numId w:val="1"/>
      </w:numPr>
      <w:tabs>
        <w:tab w:val="left" w:pos="360"/>
      </w:tabs>
      <w:wordWrap w:val="0"/>
      <w:overflowPunct w:val="0"/>
      <w:autoSpaceDE w:val="0"/>
      <w:spacing w:before="100" w:beforeLines="100" w:after="100" w:afterLines="100"/>
      <w:jc w:val="both"/>
      <w:textAlignment w:val="baseline"/>
      <w:outlineLvl w:val="1"/>
    </w:pPr>
    <w:rPr>
      <w:rFonts w:ascii="黑体" w:hAnsi="Calibri" w:eastAsia="黑体" w:cs="Times New Roman"/>
      <w:kern w:val="21"/>
      <w:sz w:val="21"/>
      <w:lang w:val="en-US" w:eastAsia="zh-CN" w:bidi="ar-SA"/>
    </w:rPr>
  </w:style>
  <w:style w:type="paragraph" w:customStyle="1" w:styleId="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Calibri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2023-04-17T08:31:00Z</dcterms:created>
  <dc:creator>西门</dc:creator>
  <cp:lastModifiedBy>西门</cp:lastModifiedBy>
  <dcterms:modified xsi:type="dcterms:W3CDTF">2023-04-17T08:31:13Z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4246CA7B12C04F88A2314DBBE8BE618F_11</vt:lpwstr>
  </property>
</Properties>
</file>