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2</w:t>
      </w:r>
    </w:p>
    <w:p>
      <w:pPr>
        <w:pStyle w:val="4"/>
        <w:keepNext w:val="0"/>
        <w:keepLines w:val="0"/>
        <w:pageBreakBefore w:val="0"/>
        <w:widowControl/>
        <w:kinsoku/>
        <w:wordWrap/>
        <w:overflowPunct/>
        <w:topLinePunct w:val="0"/>
        <w:autoSpaceDE/>
        <w:autoSpaceDN/>
        <w:bidi w:val="0"/>
        <w:adjustRightInd/>
        <w:snapToGrid/>
        <w:spacing w:before="90" w:beforeLines="20" w:beforeAutospacing="0" w:after="223" w:afterLines="50" w:afterAutospacing="0" w:line="700" w:lineRule="exact"/>
        <w:jc w:val="center"/>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方正小标宋简体" w:cs="Times New Roman"/>
          <w:sz w:val="44"/>
          <w:szCs w:val="44"/>
          <w:highlight w:val="none"/>
          <w:shd w:val="clear" w:color="auto" w:fill="FFFFFF"/>
        </w:rPr>
        <w:t>百名卫生首席专家考核内容（参考）</w:t>
      </w:r>
    </w:p>
    <w:tbl>
      <w:tblPr>
        <w:tblStyle w:val="5"/>
        <w:tblW w:w="0" w:type="auto"/>
        <w:tblInd w:w="0" w:type="dxa"/>
        <w:tblLayout w:type="fixed"/>
        <w:tblCellMar>
          <w:top w:w="0" w:type="dxa"/>
          <w:left w:w="108" w:type="dxa"/>
          <w:bottom w:w="0" w:type="dxa"/>
          <w:right w:w="108" w:type="dxa"/>
        </w:tblCellMar>
      </w:tblPr>
      <w:tblGrid>
        <w:gridCol w:w="875"/>
        <w:gridCol w:w="5496"/>
        <w:gridCol w:w="844"/>
        <w:gridCol w:w="5031"/>
        <w:gridCol w:w="899"/>
        <w:gridCol w:w="847"/>
      </w:tblGrid>
      <w:tr>
        <w:tblPrEx>
          <w:tblCellMar>
            <w:top w:w="0" w:type="dxa"/>
            <w:left w:w="108" w:type="dxa"/>
            <w:bottom w:w="0" w:type="dxa"/>
            <w:right w:w="108" w:type="dxa"/>
          </w:tblCellMar>
        </w:tblPrEx>
        <w:trPr>
          <w:trHeight w:val="615" w:hRule="atLeast"/>
        </w:trPr>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项目</w:t>
            </w:r>
          </w:p>
        </w:tc>
        <w:tc>
          <w:tcPr>
            <w:tcW w:w="54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指标</w:t>
            </w:r>
          </w:p>
        </w:tc>
        <w:tc>
          <w:tcPr>
            <w:tcW w:w="8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分值</w:t>
            </w:r>
          </w:p>
        </w:tc>
        <w:tc>
          <w:tcPr>
            <w:tcW w:w="593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考核标准</w:t>
            </w:r>
          </w:p>
        </w:tc>
        <w:tc>
          <w:tcPr>
            <w:tcW w:w="8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color w:val="000000"/>
                <w:sz w:val="28"/>
                <w:szCs w:val="28"/>
                <w:highlight w:val="none"/>
              </w:rPr>
            </w:pPr>
            <w:r>
              <w:rPr>
                <w:rFonts w:hint="default" w:ascii="Times New Roman" w:hAnsi="Times New Roman" w:eastAsia="黑体" w:cs="Times New Roman"/>
                <w:color w:val="000000"/>
                <w:sz w:val="28"/>
                <w:szCs w:val="28"/>
                <w:highlight w:val="none"/>
              </w:rPr>
              <w:t>考核得分</w:t>
            </w:r>
          </w:p>
        </w:tc>
      </w:tr>
      <w:tr>
        <w:tblPrEx>
          <w:tblCellMar>
            <w:top w:w="0" w:type="dxa"/>
            <w:left w:w="108" w:type="dxa"/>
            <w:bottom w:w="0" w:type="dxa"/>
            <w:right w:w="108" w:type="dxa"/>
          </w:tblCellMar>
        </w:tblPrEx>
        <w:trPr>
          <w:trHeight w:val="265" w:hRule="atLeast"/>
        </w:trPr>
        <w:tc>
          <w:tcPr>
            <w:tcW w:w="8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职业道德（30分）</w:t>
            </w: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1.以群众健康为中心，提供经济、方便、安全、有效的医疗卫生服务。</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严格执行诊疗规范，合理用药，无大处方和过度检查，无医疗差错。</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452"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2.遵纪守法，廉洁行医，文明服务，构建和谐医患关系。</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遵守卫生法律法规，依法执业，廉洁行医；服务态度好，关</w:t>
            </w:r>
            <w:r>
              <w:rPr>
                <w:rFonts w:hint="default" w:ascii="Times New Roman" w:hAnsi="Times New Roman" w:eastAsia="仿宋_GB2312" w:cs="Times New Roman"/>
                <w:color w:val="000000"/>
                <w:sz w:val="21"/>
                <w:szCs w:val="21"/>
                <w:highlight w:val="none"/>
                <w:lang w:eastAsia="zh-CN"/>
              </w:rPr>
              <w:t>心</w:t>
            </w:r>
            <w:r>
              <w:rPr>
                <w:rFonts w:hint="default" w:ascii="Times New Roman" w:hAnsi="Times New Roman" w:eastAsia="仿宋_GB2312" w:cs="Times New Roman"/>
                <w:color w:val="000000"/>
                <w:sz w:val="21"/>
                <w:szCs w:val="21"/>
                <w:highlight w:val="none"/>
              </w:rPr>
              <w:t>体贴患者，注重与患者沟通交流，医患关系良好。</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387"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3.顾全大局，服从安排，坚守岗位，尽职尽责。</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服务单位工作安排，积极参与疫情防控等公共卫生事务，热爱本职工作，责任意识强。</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466" w:hRule="atLeast"/>
        </w:trPr>
        <w:tc>
          <w:tcPr>
            <w:tcW w:w="8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工作成绩（40分）</w:t>
            </w: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1.完成单位安排的诊疗及其他业务工作。</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8</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完成单位安排的门诊或住院诊疗及其他工作。</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370"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2.协助单位开展专科建设。</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协助单位制定专科发展规划，至少发展1个以上特色专科。</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484"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3.帮助所在单位引进、开展新技术和新项目。</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至少开展1项以上新技术或新业务。</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467"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4.带教基层医务人员情况。</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每年带教医务人员不少于2人次。</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412"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黑体"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5.对所在单位医务人员进行培训和教育，通过教学查房、手术示教和病例讨论等方式提高医务人员技术水平。</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6</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每个季度开展医务人员培训不少于2次。</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525" w:hRule="atLeast"/>
        </w:trPr>
        <w:tc>
          <w:tcPr>
            <w:tcW w:w="8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sz w:val="24"/>
                <w:szCs w:val="24"/>
                <w:highlight w:val="none"/>
              </w:rPr>
              <w:t>能力水平（30分）</w:t>
            </w: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1.居民就医获得感。</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10</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居民就医满意度不低于90%。</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122" w:hRule="atLeast"/>
        </w:trPr>
        <w:tc>
          <w:tcPr>
            <w:tcW w:w="8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napToGrid w:val="0"/>
                <w:color w:val="000000"/>
                <w:kern w:val="0"/>
                <w:sz w:val="24"/>
                <w:szCs w:val="24"/>
                <w:highlight w:val="none"/>
              </w:rPr>
            </w:pPr>
          </w:p>
        </w:tc>
        <w:tc>
          <w:tcPr>
            <w:tcW w:w="5496"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2.单位负责人、同事及被带教人员</w:t>
            </w:r>
            <w:r>
              <w:rPr>
                <w:rFonts w:hint="default" w:ascii="Times New Roman" w:hAnsi="Times New Roman" w:eastAsia="仿宋_GB2312" w:cs="Times New Roman"/>
                <w:sz w:val="21"/>
                <w:szCs w:val="21"/>
                <w:highlight w:val="none"/>
              </w:rPr>
              <w:t>认可度</w:t>
            </w:r>
            <w:r>
              <w:rPr>
                <w:rFonts w:hint="default" w:ascii="Times New Roman" w:hAnsi="Times New Roman" w:eastAsia="仿宋_GB2312" w:cs="Times New Roman"/>
                <w:color w:val="000000"/>
                <w:sz w:val="21"/>
                <w:szCs w:val="21"/>
                <w:highlight w:val="none"/>
              </w:rPr>
              <w:t>。</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15</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首席专家在医疗服务、专科建设、业务拓展以及人才培训等方面的作用得到同事的认可。</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723" w:hRule="atLeast"/>
        </w:trPr>
        <w:tc>
          <w:tcPr>
            <w:tcW w:w="8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snapToGrid w:val="0"/>
                <w:color w:val="000000"/>
                <w:kern w:val="0"/>
                <w:sz w:val="24"/>
                <w:szCs w:val="24"/>
                <w:highlight w:val="none"/>
              </w:rPr>
            </w:pPr>
          </w:p>
        </w:tc>
        <w:tc>
          <w:tcPr>
            <w:tcW w:w="54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3.卫</w:t>
            </w:r>
            <w:r>
              <w:rPr>
                <w:rFonts w:hint="default" w:ascii="Times New Roman" w:hAnsi="Times New Roman" w:eastAsia="仿宋_GB2312" w:cs="Times New Roman"/>
                <w:sz w:val="21"/>
                <w:szCs w:val="21"/>
                <w:highlight w:val="none"/>
              </w:rPr>
              <w:t>生行政部门</w:t>
            </w:r>
            <w:r>
              <w:rPr>
                <w:rFonts w:hint="default" w:ascii="Times New Roman" w:hAnsi="Times New Roman" w:eastAsia="仿宋_GB2312" w:cs="Times New Roman"/>
                <w:color w:val="000000"/>
                <w:sz w:val="21"/>
                <w:szCs w:val="21"/>
                <w:highlight w:val="none"/>
              </w:rPr>
              <w:t>满意度</w:t>
            </w:r>
            <w:r>
              <w:rPr>
                <w:rFonts w:hint="default" w:ascii="Times New Roman" w:hAnsi="Times New Roman" w:eastAsia="仿宋_GB2312" w:cs="Times New Roman"/>
                <w:sz w:val="21"/>
                <w:szCs w:val="21"/>
                <w:highlight w:val="none"/>
              </w:rPr>
              <w:t>。</w:t>
            </w:r>
          </w:p>
        </w:tc>
        <w:tc>
          <w:tcPr>
            <w:tcW w:w="844"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5</w:t>
            </w:r>
          </w:p>
        </w:tc>
        <w:tc>
          <w:tcPr>
            <w:tcW w:w="5930" w:type="dxa"/>
            <w:gridSpan w:val="2"/>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仿宋_GB2312" w:cs="Times New Roman"/>
                <w:color w:val="000000"/>
                <w:sz w:val="21"/>
                <w:szCs w:val="21"/>
                <w:highlight w:val="none"/>
              </w:rPr>
            </w:pPr>
            <w:r>
              <w:rPr>
                <w:rFonts w:hint="default" w:ascii="Times New Roman" w:hAnsi="Times New Roman" w:eastAsia="仿宋_GB2312" w:cs="Times New Roman"/>
                <w:color w:val="000000"/>
                <w:sz w:val="21"/>
                <w:szCs w:val="21"/>
                <w:highlight w:val="none"/>
              </w:rPr>
              <w:t>首席专家在促进医疗机构发展和提升社会影响力方面的作用得到主管部门认可。</w:t>
            </w:r>
          </w:p>
        </w:tc>
        <w:tc>
          <w:tcPr>
            <w:tcW w:w="847" w:type="dxa"/>
            <w:tcBorders>
              <w:top w:val="nil"/>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1"/>
                <w:szCs w:val="21"/>
                <w:highlight w:val="none"/>
              </w:rPr>
            </w:pPr>
          </w:p>
        </w:tc>
      </w:tr>
      <w:tr>
        <w:tblPrEx>
          <w:tblCellMar>
            <w:top w:w="0" w:type="dxa"/>
            <w:left w:w="108" w:type="dxa"/>
            <w:bottom w:w="0" w:type="dxa"/>
            <w:right w:w="108" w:type="dxa"/>
          </w:tblCellMar>
        </w:tblPrEx>
        <w:trPr>
          <w:trHeight w:val="333" w:hRule="atLeast"/>
        </w:trPr>
        <w:tc>
          <w:tcPr>
            <w:tcW w:w="8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黑体" w:cs="Times New Roman"/>
                <w:color w:val="000000"/>
                <w:sz w:val="24"/>
                <w:szCs w:val="24"/>
                <w:highlight w:val="none"/>
                <w:lang w:eastAsia="zh-CN"/>
              </w:rPr>
            </w:pPr>
            <w:r>
              <w:rPr>
                <w:rFonts w:hint="default" w:ascii="Times New Roman" w:hAnsi="Times New Roman" w:eastAsia="黑体" w:cs="Times New Roman"/>
                <w:color w:val="000000"/>
                <w:sz w:val="24"/>
                <w:szCs w:val="24"/>
                <w:highlight w:val="none"/>
                <w:lang w:eastAsia="zh-CN"/>
              </w:rPr>
              <w:t>考核等次</w:t>
            </w:r>
          </w:p>
        </w:tc>
        <w:tc>
          <w:tcPr>
            <w:tcW w:w="11371" w:type="dxa"/>
            <w:gridSpan w:val="3"/>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楷体_GB2312" w:cs="Times New Roman"/>
                <w:color w:val="000000"/>
                <w:sz w:val="21"/>
                <w:szCs w:val="21"/>
                <w:highlight w:val="none"/>
              </w:rPr>
            </w:pPr>
            <w:r>
              <w:rPr>
                <w:rFonts w:hint="default" w:ascii="Times New Roman" w:hAnsi="Times New Roman" w:eastAsia="楷体_GB2312" w:cs="Times New Roman"/>
                <w:color w:val="000000"/>
                <w:sz w:val="21"/>
                <w:szCs w:val="21"/>
                <w:highlight w:val="none"/>
              </w:rPr>
              <w:t>首席专家考核结果分为优秀、良好、合格和不合格四个等次。考核总分90分以上为“优秀”，80</w:t>
            </w:r>
            <w:r>
              <w:rPr>
                <w:rFonts w:hint="default" w:ascii="Times New Roman" w:hAnsi="Times New Roman" w:eastAsia="楷体_GB2312" w:cs="Times New Roman"/>
                <w:color w:val="000000"/>
                <w:sz w:val="21"/>
                <w:szCs w:val="21"/>
                <w:highlight w:val="none"/>
                <w:lang w:val="en-US" w:eastAsia="zh-CN"/>
              </w:rPr>
              <w:t>～</w:t>
            </w:r>
            <w:r>
              <w:rPr>
                <w:rFonts w:hint="default" w:ascii="Times New Roman" w:hAnsi="Times New Roman" w:eastAsia="楷体_GB2312" w:cs="Times New Roman"/>
                <w:color w:val="000000"/>
                <w:sz w:val="21"/>
                <w:szCs w:val="21"/>
                <w:highlight w:val="none"/>
              </w:rPr>
              <w:t>89分为“良好”，60</w:t>
            </w:r>
            <w:r>
              <w:rPr>
                <w:rFonts w:hint="default" w:ascii="Times New Roman" w:hAnsi="Times New Roman" w:eastAsia="楷体_GB2312" w:cs="Times New Roman"/>
                <w:color w:val="000000"/>
                <w:sz w:val="21"/>
                <w:szCs w:val="21"/>
                <w:highlight w:val="none"/>
                <w:lang w:val="en-US" w:eastAsia="zh-CN"/>
              </w:rPr>
              <w:t>～</w:t>
            </w:r>
            <w:r>
              <w:rPr>
                <w:rFonts w:hint="default" w:ascii="Times New Roman" w:hAnsi="Times New Roman" w:eastAsia="楷体_GB2312" w:cs="Times New Roman"/>
                <w:color w:val="000000"/>
                <w:sz w:val="21"/>
                <w:szCs w:val="21"/>
                <w:highlight w:val="none"/>
              </w:rPr>
              <w:t>79分为“合格”，60分以下为“不合格”。</w:t>
            </w:r>
          </w:p>
        </w:tc>
        <w:tc>
          <w:tcPr>
            <w:tcW w:w="89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000000"/>
                <w:sz w:val="21"/>
                <w:szCs w:val="21"/>
                <w:highlight w:val="none"/>
                <w:lang w:val="en-US" w:eastAsia="zh-CN"/>
              </w:rPr>
            </w:pPr>
            <w:r>
              <w:rPr>
                <w:rFonts w:hint="default" w:ascii="Times New Roman" w:hAnsi="Times New Roman" w:eastAsia="楷体_GB2312" w:cs="Times New Roman"/>
                <w:color w:val="000000"/>
                <w:sz w:val="21"/>
                <w:szCs w:val="21"/>
                <w:highlight w:val="none"/>
                <w:lang w:eastAsia="zh-CN"/>
              </w:rPr>
              <w:t>等次</w:t>
            </w:r>
          </w:p>
        </w:tc>
        <w:tc>
          <w:tcPr>
            <w:tcW w:w="8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楷体_GB2312" w:cs="Times New Roman"/>
                <w:color w:val="000000"/>
                <w:sz w:val="21"/>
                <w:szCs w:val="21"/>
                <w:highlight w:val="none"/>
                <w:lang w:val="en-US" w:eastAsia="zh-CN"/>
              </w:rPr>
            </w:pPr>
            <w:r>
              <w:rPr>
                <w:rFonts w:hint="default" w:ascii="Times New Roman" w:hAnsi="Times New Roman" w:eastAsia="楷体_GB2312" w:cs="Times New Roman"/>
                <w:color w:val="000000"/>
                <w:sz w:val="21"/>
                <w:szCs w:val="21"/>
                <w:highlight w:val="none"/>
                <w:lang w:eastAsia="zh-CN"/>
              </w:rPr>
              <w:t>总分</w:t>
            </w:r>
          </w:p>
        </w:tc>
      </w:tr>
      <w:tr>
        <w:tblPrEx>
          <w:tblCellMar>
            <w:top w:w="0" w:type="dxa"/>
            <w:left w:w="108" w:type="dxa"/>
            <w:bottom w:w="0" w:type="dxa"/>
            <w:right w:w="108" w:type="dxa"/>
          </w:tblCellMar>
        </w:tblPrEx>
        <w:trPr>
          <w:trHeight w:val="334" w:hRule="atLeast"/>
        </w:trPr>
        <w:tc>
          <w:tcPr>
            <w:tcW w:w="875"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黑体" w:cs="Times New Roman"/>
                <w:snapToGrid w:val="0"/>
                <w:color w:val="000000"/>
                <w:kern w:val="0"/>
                <w:sz w:val="24"/>
                <w:szCs w:val="24"/>
                <w:highlight w:val="none"/>
                <w:lang w:eastAsia="zh-CN"/>
              </w:rPr>
            </w:pPr>
          </w:p>
        </w:tc>
        <w:tc>
          <w:tcPr>
            <w:tcW w:w="11371" w:type="dxa"/>
            <w:gridSpan w:val="3"/>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楷体_GB2312" w:cs="Times New Roman"/>
                <w:color w:val="000000"/>
                <w:sz w:val="21"/>
                <w:szCs w:val="21"/>
                <w:highlight w:val="none"/>
              </w:rPr>
            </w:pPr>
          </w:p>
        </w:tc>
        <w:tc>
          <w:tcPr>
            <w:tcW w:w="899"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楷体_GB2312" w:cs="Times New Roman"/>
                <w:color w:val="000000"/>
                <w:sz w:val="21"/>
                <w:szCs w:val="21"/>
                <w:highlight w:val="none"/>
                <w:lang w:val="en-US" w:eastAsia="zh-CN"/>
              </w:rPr>
            </w:pPr>
          </w:p>
        </w:tc>
        <w:tc>
          <w:tcPr>
            <w:tcW w:w="8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楷体_GB2312" w:cs="Times New Roman"/>
                <w:color w:val="000000"/>
                <w:sz w:val="21"/>
                <w:szCs w:val="21"/>
                <w:highlight w:val="none"/>
                <w:lang w:val="en-US" w:eastAsia="zh-CN"/>
              </w:rPr>
            </w:pPr>
          </w:p>
        </w:tc>
      </w:tr>
    </w:tbl>
    <w:p>
      <w:pPr>
        <w:rPr>
          <w:vanish/>
        </w:rPr>
      </w:pPr>
      <w:bookmarkStart w:id="0" w:name="_GoBack"/>
    </w:p>
    <w:bookmarkEnd w:id="0"/>
    <w:sectPr>
      <w:pgSz w:w="16838" w:h="11906" w:orient="landscape"/>
      <w:pgMar w:top="153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B77EEB"/>
    <w:rsid w:val="06B77EEB"/>
    <w:rsid w:val="288B1A94"/>
    <w:rsid w:val="35852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微软雅黑" w:cs="Times New Roman"/>
      <w:szCs w:val="20"/>
      <w:lang w:bidi="ar-SA"/>
    </w:rPr>
  </w:style>
  <w:style w:type="paragraph" w:styleId="3">
    <w:name w:val="Title"/>
    <w:basedOn w:val="1"/>
    <w:next w:val="1"/>
    <w:qFormat/>
    <w:uiPriority w:val="0"/>
    <w:pPr>
      <w:keepNext w:val="0"/>
      <w:keepLines w:val="0"/>
      <w:widowControl w:val="0"/>
      <w:suppressLineNumbers w:val="0"/>
      <w:spacing w:before="0" w:beforeAutospacing="0" w:after="0" w:afterAutospacing="0" w:line="0" w:lineRule="atLeast"/>
      <w:ind w:left="0" w:right="0"/>
      <w:jc w:val="center"/>
    </w:pPr>
    <w:rPr>
      <w:rFonts w:ascii="Arial" w:hAnsi="Arial" w:eastAsia="黑体" w:cs="Arial"/>
      <w:kern w:val="2"/>
      <w:sz w:val="52"/>
      <w:szCs w:val="52"/>
      <w:lang w:val="en-US" w:eastAsia="zh-CN" w:bidi="ar"/>
    </w:rPr>
  </w:style>
  <w:style w:type="paragraph" w:styleId="4">
    <w:name w:val="Normal (Web)"/>
    <w:basedOn w:val="1"/>
    <w:qFormat/>
    <w:uiPriority w:val="0"/>
    <w:pPr>
      <w:spacing w:before="100" w:beforeLines="0" w:beforeAutospacing="1" w:after="100" w:afterLines="0" w:afterAutospacing="1"/>
      <w:ind w:left="0" w:right="0"/>
      <w:jc w:val="left"/>
    </w:pPr>
    <w:rPr>
      <w:rFonts w:ascii="Calibri" w:hAnsi="Calibri" w:eastAsia="微软雅黑"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省卫生健康委员会</Company>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2023-02-20T02:25:00Z</dcterms:created>
  <dc:creator>LINNN000</dc:creator>
  <cp:lastModifiedBy>LINNN000</cp:lastModifiedBy>
  <dcterms:modified xsi:type="dcterms:W3CDTF">2023-02-20T02:42:03Z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