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after="157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2022年通过三级医院评（复）审名单</w:t>
      </w:r>
    </w:p>
    <w:bookmarkEnd w:id="0"/>
    <w:tbl>
      <w:tblPr>
        <w:tblStyle w:val="5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584"/>
        <w:gridCol w:w="4230"/>
        <w:gridCol w:w="1135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医院类别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等次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南方医科大学深圳医院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中山大学附属第七医院（深圳）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中国科学院大学深圳医院（光明）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佛山复星禅诚医院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广东省农垦中心医院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中国医学科学院阜外医院深圳医院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汕头大学·香港中文大学联合汕头国际眼科中心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广州市妇幼保健院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（广州市妇女儿童医疗中心）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佛山市南海区妇幼保健院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/>
              </w:rPr>
              <w:t>河源市妇幼保健院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中山市妇幼保健院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（中山市博爱医院）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肇庆市端州区妇幼保健院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三级乙等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7F86"/>
    <w:rsid w:val="282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Calibri" w:hAnsi="Calibri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2023-02-13T02:31:00Z</dcterms:created>
  <dc:creator>user</dc:creator>
  <cp:lastModifiedBy>user</cp:lastModifiedBy>
  <dcterms:modified xsi:type="dcterms:W3CDTF">2023-02-13T02:32:14Z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