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424242"/>
          <w:spacing w:val="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424242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第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24242"/>
          <w:spacing w:val="0"/>
          <w:sz w:val="44"/>
          <w:szCs w:val="44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批广东省医养结合示范机构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24242"/>
          <w:spacing w:val="0"/>
          <w:sz w:val="44"/>
          <w:szCs w:val="44"/>
          <w:shd w:val="clear" w:color="auto" w:fill="FFFFFF"/>
          <w:lang w:eastAsia="zh-CN"/>
        </w:rPr>
        <w:t>名单</w:t>
      </w:r>
      <w:bookmarkEnd w:id="0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广州市增城区颐养院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广州南国颐景老年公寓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深圳市大鹏新区南澳人民医院七娘山护理院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深业颐居养老运营（深圳）有限公司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珠海斗门容永道长者护理院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佛山健翔护理医院有限公司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东莞市洪梅医院护理院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中山市火炬开发区海滨社区卫生服务中心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江门市社会福利院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阳江市阳东区江华颐养院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30AA5"/>
    <w:rsid w:val="444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2023-01-03T01:49:00Z</dcterms:created>
  <dc:creator>user</dc:creator>
  <cp:lastModifiedBy>user</cp:lastModifiedBy>
  <dcterms:modified xsi:type="dcterms:W3CDTF">2023-01-03T01:50:20Z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