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20"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方正黑体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广东省卫生健康系统从轻处罚事项清单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（第一批）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10"/>
        <w:gridCol w:w="2010"/>
        <w:gridCol w:w="1471"/>
        <w:gridCol w:w="1862"/>
        <w:gridCol w:w="1512"/>
        <w:gridCol w:w="1369"/>
        <w:gridCol w:w="137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96"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序号</w:t>
            </w:r>
          </w:p>
        </w:tc>
        <w:tc>
          <w:tcPr>
            <w:tcW w:w="2610"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事项名称</w:t>
            </w:r>
          </w:p>
        </w:tc>
        <w:tc>
          <w:tcPr>
            <w:tcW w:w="2010"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基本</w:t>
            </w:r>
          </w:p>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编码</w:t>
            </w:r>
          </w:p>
        </w:tc>
        <w:tc>
          <w:tcPr>
            <w:tcW w:w="1471"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设定</w:t>
            </w:r>
          </w:p>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依据</w:t>
            </w:r>
          </w:p>
        </w:tc>
        <w:tc>
          <w:tcPr>
            <w:tcW w:w="1862"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适用情形</w:t>
            </w:r>
          </w:p>
        </w:tc>
        <w:tc>
          <w:tcPr>
            <w:tcW w:w="1512"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从轻处罚</w:t>
            </w:r>
          </w:p>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依据</w:t>
            </w:r>
          </w:p>
        </w:tc>
        <w:tc>
          <w:tcPr>
            <w:tcW w:w="1369"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裁量幅度</w:t>
            </w:r>
          </w:p>
        </w:tc>
        <w:tc>
          <w:tcPr>
            <w:tcW w:w="1370"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配套监督措施</w:t>
            </w:r>
          </w:p>
        </w:tc>
        <w:tc>
          <w:tcPr>
            <w:tcW w:w="1092"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26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对未按照规定对公共场所进行卫生检测和未按照规定对顾客用品用具进行清洗、消毒、保洁的行为的行政处罚</w:t>
            </w:r>
          </w:p>
        </w:tc>
        <w:tc>
          <w:tcPr>
            <w:tcW w:w="2010" w:type="dxa"/>
            <w:noWrap w:val="0"/>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440220232000</w:t>
            </w:r>
          </w:p>
        </w:tc>
        <w:tc>
          <w:tcPr>
            <w:tcW w:w="1471" w:type="dxa"/>
            <w:noWrap w:val="0"/>
            <w:vAlign w:val="center"/>
          </w:tcPr>
          <w:p>
            <w:pPr>
              <w:spacing w:line="360" w:lineRule="exact"/>
              <w:jc w:val="both"/>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《公共场所卫生管理条例实施细则》第十九条第一款、第三十六条第一项</w:t>
            </w:r>
            <w:r>
              <w:rPr>
                <w:rFonts w:hint="default" w:ascii="Times New Roman" w:hAnsi="Times New Roman" w:eastAsia="仿宋_GB2312" w:cs="Times New Roman"/>
                <w:kern w:val="0"/>
                <w:sz w:val="28"/>
                <w:szCs w:val="28"/>
                <w:lang w:eastAsia="zh-CN"/>
              </w:rPr>
              <w:t>、第二项</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存在以下情形之一：</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责令改正期限</w:t>
            </w:r>
            <w:r>
              <w:rPr>
                <w:rFonts w:hint="default" w:ascii="Times New Roman" w:hAnsi="Times New Roman" w:eastAsia="仿宋_GB2312" w:cs="Times New Roman"/>
                <w:kern w:val="0"/>
                <w:sz w:val="28"/>
                <w:szCs w:val="28"/>
              </w:rPr>
              <w:t>五日内主动按照标准和规范检测</w:t>
            </w:r>
            <w:r>
              <w:rPr>
                <w:rFonts w:hint="default" w:ascii="Times New Roman" w:hAnsi="Times New Roman" w:eastAsia="仿宋_GB2312" w:cs="Times New Roman"/>
                <w:kern w:val="0"/>
                <w:sz w:val="28"/>
                <w:szCs w:val="28"/>
                <w:lang w:eastAsia="zh-CN"/>
              </w:rPr>
              <w:t>，检测合格的。</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（二）责令改正期限</w:t>
            </w:r>
            <w:r>
              <w:rPr>
                <w:rFonts w:hint="default" w:ascii="Times New Roman" w:hAnsi="Times New Roman" w:eastAsia="仿宋_GB2312" w:cs="Times New Roman"/>
                <w:kern w:val="0"/>
                <w:sz w:val="28"/>
                <w:szCs w:val="28"/>
              </w:rPr>
              <w:t>五日内主动按照标准和规范检测</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检测不合格的，及时整改，消除或减轻违法行为危害后果。</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（三）责令改正当日对顾客用品用具进行清洗、消毒、保洁。</w:t>
            </w:r>
          </w:p>
        </w:tc>
        <w:tc>
          <w:tcPr>
            <w:tcW w:w="1512"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《行政处罚法》第三十二条第一款</w:t>
            </w:r>
          </w:p>
        </w:tc>
        <w:tc>
          <w:tcPr>
            <w:tcW w:w="13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（一）第一种情形给予</w:t>
            </w:r>
            <w:r>
              <w:rPr>
                <w:rFonts w:hint="default" w:ascii="Times New Roman" w:hAnsi="Times New Roman" w:eastAsia="仿宋_GB2312" w:cs="Times New Roman"/>
                <w:kern w:val="0"/>
                <w:sz w:val="28"/>
                <w:szCs w:val="28"/>
              </w:rPr>
              <w:t>警告，</w:t>
            </w:r>
            <w:r>
              <w:rPr>
                <w:rFonts w:hint="default" w:ascii="Times New Roman" w:hAnsi="Times New Roman" w:eastAsia="仿宋_GB2312" w:cs="Times New Roman"/>
                <w:kern w:val="0"/>
                <w:sz w:val="28"/>
                <w:szCs w:val="28"/>
                <w:lang w:eastAsia="zh-CN"/>
              </w:rPr>
              <w:t>并</w:t>
            </w:r>
            <w:r>
              <w:rPr>
                <w:rFonts w:hint="eastAsia" w:ascii="Times New Roman" w:hAnsi="Times New Roman" w:cs="Times New Roman"/>
                <w:kern w:val="0"/>
                <w:sz w:val="28"/>
                <w:szCs w:val="28"/>
                <w:lang w:eastAsia="zh-CN"/>
              </w:rPr>
              <w:t>可</w:t>
            </w:r>
            <w:r>
              <w:rPr>
                <w:rFonts w:hint="default" w:ascii="Times New Roman" w:hAnsi="Times New Roman" w:eastAsia="仿宋_GB2312" w:cs="Times New Roman"/>
                <w:kern w:val="0"/>
                <w:sz w:val="28"/>
                <w:szCs w:val="28"/>
                <w:lang w:eastAsia="zh-CN"/>
              </w:rPr>
              <w:t>处五百元以下罚款。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（二）第二种情形给予警告，</w:t>
            </w:r>
            <w:r>
              <w:rPr>
                <w:rFonts w:hint="default" w:ascii="Times New Roman" w:hAnsi="Times New Roman" w:eastAsia="仿宋_GB2312" w:cs="Times New Roman"/>
                <w:kern w:val="0"/>
                <w:sz w:val="28"/>
                <w:szCs w:val="28"/>
              </w:rPr>
              <w:t>并</w:t>
            </w:r>
            <w:r>
              <w:rPr>
                <w:rFonts w:hint="eastAsia" w:ascii="Times New Roman" w:hAnsi="Times New Roman" w:cs="Times New Roman"/>
                <w:kern w:val="0"/>
                <w:sz w:val="28"/>
                <w:szCs w:val="28"/>
                <w:lang w:eastAsia="zh-CN"/>
              </w:rPr>
              <w:t>可</w:t>
            </w:r>
            <w:r>
              <w:rPr>
                <w:rFonts w:hint="default" w:ascii="Times New Roman" w:hAnsi="Times New Roman" w:eastAsia="仿宋_GB2312" w:cs="Times New Roman"/>
                <w:kern w:val="0"/>
                <w:sz w:val="28"/>
                <w:szCs w:val="28"/>
              </w:rPr>
              <w:t>处一千元以下的罚款</w:t>
            </w:r>
            <w:r>
              <w:rPr>
                <w:rFonts w:hint="default" w:ascii="Times New Roman" w:hAnsi="Times New Roman" w:eastAsia="仿宋_GB2312" w:cs="Times New Roman"/>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（三）第三种情形给予警告，并</w:t>
            </w:r>
            <w:r>
              <w:rPr>
                <w:rFonts w:hint="eastAsia" w:ascii="Times New Roman" w:hAnsi="Times New Roman" w:cs="Times New Roman"/>
                <w:kern w:val="0"/>
                <w:sz w:val="28"/>
                <w:szCs w:val="28"/>
                <w:lang w:eastAsia="zh-CN"/>
              </w:rPr>
              <w:t>可</w:t>
            </w:r>
            <w:r>
              <w:rPr>
                <w:rFonts w:hint="default" w:ascii="Times New Roman" w:hAnsi="Times New Roman" w:eastAsia="仿宋_GB2312" w:cs="Times New Roman"/>
                <w:kern w:val="0"/>
                <w:sz w:val="28"/>
                <w:szCs w:val="28"/>
                <w:lang w:eastAsia="zh-CN"/>
              </w:rPr>
              <w:t>处五百元以下的罚款。</w:t>
            </w:r>
          </w:p>
        </w:tc>
        <w:tc>
          <w:tcPr>
            <w:tcW w:w="1370"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092" w:type="dxa"/>
            <w:noWrap w:val="0"/>
            <w:vAlign w:val="center"/>
          </w:tcPr>
          <w:p>
            <w:pPr>
              <w:spacing w:line="360" w:lineRule="exact"/>
              <w:jc w:val="both"/>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26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对公共场所的经营者未组织从业人员进行健康检查或者允许未取得健康合格证明的人员从事直接服务工作的行为的行政处罚</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440220157000</w:t>
            </w:r>
          </w:p>
        </w:tc>
        <w:tc>
          <w:tcPr>
            <w:tcW w:w="14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《公共场所卫生管理条例实施细则》第十条、第三十八条</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责令改正当日</w:t>
            </w:r>
            <w:r>
              <w:rPr>
                <w:rFonts w:hint="default" w:ascii="Times New Roman" w:hAnsi="Times New Roman" w:eastAsia="仿宋_GB2312" w:cs="Times New Roman"/>
                <w:kern w:val="0"/>
                <w:sz w:val="28"/>
                <w:szCs w:val="28"/>
              </w:rPr>
              <w:t>立即调离没有获得有效健康合格证明人员的工作岗位，同时安排体检，消除或减轻违法行为危害后果。</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《行政处罚法》第三十二条</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警告，并处五百元罚款</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FF858"/>
    <w:multiLevelType w:val="singleLevel"/>
    <w:tmpl w:val="BA3FF8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24E2287C"/>
    <w:rsid w:val="24E22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eastAsia="宋体" w:cs="Times New Roman"/>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2022-10-25T01:57:00Z</dcterms:created>
  <dc:creator>西门</dc:creator>
  <cp:lastModifiedBy>西门</cp:lastModifiedBy>
  <dcterms:modified xsi:type="dcterms:W3CDTF">2022-10-25T01:57:51Z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0AA60F9677E84F02AA11EE80A5B77DDD</vt:lpwstr>
  </property>
</Properties>
</file>