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Hans"/>
        </w:rPr>
        <w:t>限制临床应用医疗技术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管理专业质量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控制中心工作机构、职责及成员名单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一、工作机构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广东省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限制临床应用医疗技术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质量控制中心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是根据质量管理工作需要组建的，协助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省卫生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健康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bidi="ar-SA"/>
        </w:rPr>
        <w:t>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限制临床应用医疗技术管理专业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质量管理与控制工作。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该中心是委托性质的专家委员会，无独立法人资格，挂靠在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中山大学孙逸仙纪念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，由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中山大学孙逸仙纪念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color w:val="auto"/>
          <w:kern w:val="0"/>
          <w:sz w:val="32"/>
          <w:szCs w:val="32"/>
          <w:lang w:eastAsia="zh-CN"/>
        </w:rPr>
        <w:t>提供开展工作需要的办公场所、设备、经费和配备必要的人员等，以确保质量控制工作的正常运转。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二、工作职责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（一）拟定限制临床应用医疗技术管理专业的质控程序、标准和计划，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组织指导相关临床专业质控中心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制定限制临床应用医疗技术考核方案和质控指标、培训基地培训大纲、质控方案和培训基地的考核评估方案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Hans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报省卫生健康委发布实施。组织相应的质控培训、指导实施；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（二）负责质控工作的实施，组织对医疗机构限制临床应用医疗技术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管理的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质量评价，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至少每两年一次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开展限制临床应用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质量评估工作，及时将评估结果和整改意见建议报省卫生健康委；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（三）对质控存在问题的医疗机构进行指导，督促医疗机构落实质控评估整改建议，追踪复查整改落实情况，对质控过程中发现的疑似违法违规情形及时上报省卫生健康委；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四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）根据有关法律、法规的要求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对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医疗机构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限制临床应用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管理情况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进行调研和论证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，推进信息化建设。为行政决策提供依据；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五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）负责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限制临床应用医疗技术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质量信息的收集、统计、分析和评价，并对质控的真实性进行抽查复核；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六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）逐步组建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限制临床应用医疗技术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质控网络，主动与国家质控中心联系，做好国家级质控工作的承接，指导市、县（市、区）质控中心开展工作；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）拟定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限制临床应用医疗技术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人才队伍的发展规划，组织我省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Hans"/>
        </w:rPr>
        <w:t>限制临床应用医疗技术管理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人员的培训；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省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级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/>
        </w:rPr>
        <w:t>卫生健康</w:t>
      </w:r>
      <w:r>
        <w:rPr>
          <w:rFonts w:hint="eastAsia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行政部门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交办的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CN"/>
        </w:rPr>
        <w:t>其他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zh-TW" w:eastAsia="zh-TW"/>
        </w:rPr>
        <w:t>任务。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napToGrid w:val="0"/>
          <w:kern w:val="0"/>
          <w:sz w:val="32"/>
          <w:szCs w:val="32"/>
          <w:lang w:val="en-US" w:eastAsia="zh-CN" w:bidi="ar-SA"/>
        </w:rPr>
        <w:t>三、成员名单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（一）主任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余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Hans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 xml:space="preserve"> 中山大学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孙逸仙纪念医院医务科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科长、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（二）副主任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吴本权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中山大学附属第三医院医务部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郭  怡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南方医科大学南方医院医务处副处长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陈全福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广东省中医院医务处处长、主任医师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贾  炜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广州市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妇女儿童医疗中心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医务处处长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赵伟成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佛山市第一人民医院医务科科长、主任医师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（三）专家委员会委员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肖良成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中山大学附属第一医院医务科科长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张  锐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w w:val="96"/>
          <w:kern w:val="0"/>
          <w:sz w:val="32"/>
          <w:szCs w:val="32"/>
          <w:vertAlign w:val="baseline"/>
          <w:lang w:val="en-US" w:eastAsia="zh-CN"/>
        </w:rPr>
        <w:t>中山大学孙逸仙纪念医院医务科副科长、副主任医师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曾广基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中山大学肿瘤防治中心医疗质量管理科科长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陈睛晶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中山大学中山眼科中心医务科、质控科科长、副主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赵云龙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中山大学附属第六医院医政处副处长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张  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南方医科大学珠江医院医务处副处长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于扬文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广州中医药大学第一附属医院医务科科长、副主任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卢伟杰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广州医科大学第一附属医院外科主任、主任医师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钟文德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广州医科大学第二附属医院医务科科长、主治医师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戴奇山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Hans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广州市第一人民医院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Hans"/>
        </w:rPr>
        <w:t>医务部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主任、主任医师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李建林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中山大学附属第八医院（深圳）副院长、主任医师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曲秀娟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中山大学附属第五医院医务部主任、副主任医师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韦  湘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粤北人民医院医务科副科长、副主任医师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吕一帆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惠州市中心人民医院医务部主任、副主任医师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周  伟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东莞市人民医院医务科科长、主任医师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柯  道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vertAlign w:val="baseline"/>
          <w:lang w:val="en-US" w:eastAsia="zh-CN"/>
        </w:rPr>
        <w:t>湛江市中心人民医院医务科副科长、副主任医师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（四）秘书</w:t>
      </w:r>
      <w:r>
        <w:rPr>
          <w:rFonts w:hint="eastAsia" w:ascii="Times New Roman" w:hAnsi="Times New Roman" w:eastAsia="楷体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王鹏飞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中山大学孙逸仙纪念医院医务科副科长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林晓庆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/>
          <w:snapToGrid w:val="0"/>
          <w:kern w:val="0"/>
          <w:sz w:val="32"/>
          <w:szCs w:val="32"/>
          <w:lang w:val="en-US" w:eastAsia="zh-CN"/>
        </w:rPr>
        <w:t>中山大学孙逸仙纪念医院医务科科员</w:t>
      </w:r>
    </w:p>
    <w:p>
      <w:pPr>
        <w:pStyle w:val="2"/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zNTA2ZjE2NTIwNjkyODM5ODg5YWY1ZGU3ZWRiMDUifQ=="/>
  </w:docVars>
  <w:rsids>
    <w:rsidRoot w:val="00000000"/>
    <w:rsid w:val="28BE7BEE"/>
    <w:rsid w:val="6E3E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2"/>
    </w:pPr>
    <w:rPr>
      <w:rFonts w:ascii="Calibri" w:hAnsi="Calibri" w:eastAsia="仿宋_GB2312" w:cs="Times New Roman"/>
      <w:b/>
      <w:sz w:val="32"/>
      <w:szCs w:val="24"/>
      <w:lang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0"/>
    <w:pPr>
      <w:ind w:firstLine="420" w:firstLineChars="200"/>
    </w:pPr>
    <w:rPr>
      <w:rFonts w:ascii="Calibri" w:hAnsi="Calibri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2022-05-18T02:45:00Z</dcterms:created>
  <dc:creator>admin</dc:creator>
  <cp:lastModifiedBy>LINNN000</cp:lastModifiedBy>
  <dcterms:modified xsi:type="dcterms:W3CDTF">2022-06-14T08:23:40Z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A6705C9E35E0423B9B2832FC12E13187</vt:lpwstr>
  </property>
</Properties>
</file>