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广东省医务管理专业质量控制中心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工作机构、职责及成员名单</w:t>
      </w:r>
    </w:p>
    <w:p>
      <w:pP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一、工作机构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bidi="ar-SA"/>
        </w:rPr>
        <w:t>广东省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医务管理专业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bidi="ar-SA"/>
        </w:rPr>
        <w:t>质量控制中心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是根据质量管理工作需要组建的，协助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省卫生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bidi="ar-SA"/>
        </w:rPr>
        <w:t>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医务管理专业质量管理与控制工作。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  <w:t>该中心是委托性质的专家委员会，无独立法人资格，挂靠在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南方医科大学南方医院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  <w:t>，由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南方医科大学南方医院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  <w:t>提供开展工作需要的办公场所、设备、经费和配备必要的人员等，以确保质量控制工作的正常运转。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（一）拟定医务管理专业的质控程序、标准和计划，制定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医疗质量管理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考核方案和质控指标，报省卫生健康委发布实施。组织相应的质控培训、指导实施；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（二）负责质控工作的实施，组织对医疗机构医务管理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质量评价，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至少每两年一次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医疗质量管理、医疗安全核心制度等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质量评估工作，及时将评估结果和整改意见建议报省卫生健康委；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（三）对质控存在问题的医疗机构进行指导，督促医疗机构落实质控评估整改建议，追踪复查整改落实情况，对质控过程中发现的疑似违法违规情形及时上报省卫生健康委；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）根据有关法律、法规要求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，对医疗机构医务管理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医疗质量管理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等进行调研和论证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，推进信息化建设。为行政决策提供依据；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）负责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医务管理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专业质量信息的收集、统计、分析和评价，并对质控的真实性进行抽查复核；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）逐步组建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医务管理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专业质控网络，主动与国家质控中心联系，做好国家级质控工作的承接，指导市、县（市、区）质控中心开展工作；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医务管理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专业人才队伍的发展规划，组织我省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医务管理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专业人员的培训；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省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交办的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任务。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snapToGrid w:val="0"/>
          <w:kern w:val="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三、成员名单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郭  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 xml:space="preserve"> 南方医科大学南方医院医务处副处长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（二）副主任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侯铁英  广东省人民医院医务处处长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刘大钺  中山大学附属第一医院医务处副处长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徐凤琴  中山大学孙逸仙纪念医院医务部主任兼院感办主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任、质评中心主任、主任医师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支国舟  南方医科大学珠江医院医务处处长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庞  钊  暨南大学附属第一医院医务部主任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（三）专家委员会委员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肖良成  中山大学附属第一医院医务科科长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王鹏飞  中山大学孙逸仙纪念医院医务科副科长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吴本权  中山大学附属第三医院医务处处长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韦  玮  中山大学肿瘤防治中心医务处处长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赵云龙  中山大学附属第六医院医务处副处长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 xml:space="preserve">胡平玲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-11"/>
          <w:kern w:val="0"/>
          <w:sz w:val="32"/>
          <w:szCs w:val="32"/>
          <w:vertAlign w:val="baseline"/>
          <w:lang w:val="en-US" w:eastAsia="zh-CN"/>
        </w:rPr>
        <w:t>南方医科大学南方医院医疗质量管理科副主任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陈全福  广东省中医院医教处处长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vertAlign w:val="baseline"/>
          <w:lang w:val="en-US" w:eastAsia="zh-CN"/>
        </w:rPr>
        <w:t>徐  新  汕头大学医学院第一附属医院医务处处长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龙霄翱  广东医科大学附属医院医务处处长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欧阳斌  广州医科大学附属第一医院医务科科长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戴奇山  广州市第一人民医院医务部主任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贾  炜  广州市妇女儿童医疗中心医务部主任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 xml:space="preserve">张宁波  北京大学深圳医院医务部主任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方智野  深圳市第二人民医院医务科科长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张立新  南方医科大学深圳医院医务部主任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褚  靖  珠海市人民医院医务科科长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周  伟  东莞市人民医院医务科科长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吕一帆  惠州市中心医院医务科科长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赵伟成  佛山市第一人民医院医务部主任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莫鉴锋  清远市人民医院医务部主任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（四）秘书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刘永军  南方医科大学南方医院医务处副主任科员</w:t>
      </w: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陈轶戈  南方医科大学南方医院医务处科员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6E3E3CCC"/>
    <w:rsid w:val="76AB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