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广东省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病案管理专业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质量控制中心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工作机构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、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职责及成员名单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一、工作机构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病案管理专业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质量控制中心是根据质量管理工作需要组建的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协助省卫生健康委进行全省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病案管理专业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质量管理与控制工作。该中心是委托性质的专家委员会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无独立法人资格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挂靠在中山大学附属第一医院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由中山大学附属第一医院提供开展工作需要的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办公场所、设备、经费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和配备必要的人员等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以确保质量控制工作的正常运转。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eastAsia="zh-CN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（一）拟定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病案管理专业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的质控程序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标准和计划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制定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病案管理专业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考核方案和质控指标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报省卫生健康委发布实施。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组织相应的质控培训、指导实施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（二）负责质控工作的实施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组织对医疗机构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病案管理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质量评价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定期开展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病案管理专业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质量评估工作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及时将评估结果和整改意见建议报省卫生健康委；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（三）对质控存在问题的医疗机构进行指导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督促医疗机构落实质控评估整改建议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追踪复查整改落实情况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对质控过程中发现的疑似违法违规情形及时上报省卫生健康委；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根据有关法律、法规、规章、诊疗技术规范、指南的要求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病案管理专业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学科设置、布局、制度建设、人员要求、相关设备和技术的应用、工作开展情况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等进行调研和论证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建立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病案管理专业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质控信息数据库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推进本行政区域相关专业信息化建设。为行政决策提供依据；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（五）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负责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病案管理专业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质量信息的收集、统计、分析和评价，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并对质控的真实性进行抽查复核；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）逐步组建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病案管理专业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质控网络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主动与国家质控中心联系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做好国家级质控工作的承接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，指导市、县（市、区）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质控中心开展工作；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）拟定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病案管理专业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人才队伍的发展规划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组织我省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病案管理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人员的培训；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卫生健康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行政部门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交办的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</w:rPr>
        <w:t>三、成员名单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（一）主任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刘秋生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中山大学附属第一医院医务处处长、副主任医师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胡  伟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广东省卫生健康委员会事务中心统计科科长、高级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统计师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刘  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南方医科大学南方医院医疗质量控制科主任、主任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徐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Hans"/>
        </w:rPr>
        <w:t>凤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 xml:space="preserve">  中山大学孙逸仙纪念医院医务部主任兼院感办主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>任、质评中心主任、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文政伟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广东省人民医院医务处副处长、主任医师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专家委员会委员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赵淑媛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广东省人民医院病案科主任、主任技师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赖丽文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广东省人民医院病案科副主任技师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杨  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广东省人民医院信息处副处长、高级工程师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宋  俊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广东省第二人民医院病案科科长、主任技师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 xml:space="preserve">毛莉颖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广东省第二人民医院质量管理科科长、主任医师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张武军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中山大学附属第一医院信息数据中心主任、副研究员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熊  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</w:rPr>
        <w:t>中山大学附属第一医院病案管理科科长、副主任技师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余俊蓉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中山大学附属第一医院信息数据中心科长、高级工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赵雁梨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中山大学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肿瘤防治中心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病案统计科副科长、高级统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计师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胡平玲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南方医科大学南方医院医疗质量控制科副主任、副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周洪波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南方医科大学南方医院编码负责人、副主任技师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严静东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南方医科大学南方医院信息科主任、高级工程师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傅昊阳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广东省中医院信息处处长、高级工程师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郑  筠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汕头大学医学院第一附属医院病案统计室主任、主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曾  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广东省卫生健康委员会事务中心大数据统计科科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员、中级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陈丽纯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广州医科大学附属第二医院病案统计科科长、主任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尹龙燕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广州市第一人民医院病案管理科科长、副主任医师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李丽娟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广州市妇女儿童医疗中心质控科科长、副主任医师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曹晓均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广州市妇女儿童医疗中心数据中心副主任、高级工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陈彩霞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深圳市人民医院病案管理科主任、主任技师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沈  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粤北人民医院病案室主任、主任技师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</w:rPr>
        <w:t>（四）秘书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辛子艺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中山大学附属第一医院病案管理科技师</w:t>
      </w:r>
    </w:p>
    <w:p>
      <w:pPr>
        <w:ind w:firstLine="640" w:firstLineChars="200"/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卢建军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中山大学附属第一医院病案管理科主管技师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D3C8E1"/>
    <w:multiLevelType w:val="singleLevel"/>
    <w:tmpl w:val="D2D3C8E1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41751842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表段落1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2022-06-14T08:20:27Z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