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高级卫生专业技术资格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</w:rPr>
        <w:t>考试专业设置一览表</w:t>
      </w:r>
    </w:p>
    <w:bookmarkEnd w:id="0"/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27"/>
        <w:gridCol w:w="681"/>
        <w:gridCol w:w="2190"/>
        <w:gridCol w:w="660"/>
        <w:gridCol w:w="2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耳鼻喉(头颈外科)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皮肤与性病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慢性非传染性疾病控制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寄生虫病控制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放射肿瘤治疗学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地方病控制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介入治疗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中医耳鼻喉科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中医肿瘤学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中西医结合内科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中西医结合外科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中西医结合妇科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中西医结合儿科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学校卫生与儿少卫生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20A93"/>
    <w:rsid w:val="1AC2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2022-04-29T09:00:00Z</dcterms:created>
  <dc:creator>user</dc:creator>
  <cp:lastModifiedBy>user</cp:lastModifiedBy>
  <dcterms:modified xsi:type="dcterms:W3CDTF">2022-04-29T09:01:01Z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