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</w:p>
    <w:tbl>
      <w:tblPr>
        <w:tblStyle w:val="6"/>
        <w:tblW w:w="110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515"/>
        <w:gridCol w:w="403"/>
        <w:gridCol w:w="2926"/>
        <w:gridCol w:w="984"/>
        <w:gridCol w:w="806"/>
        <w:gridCol w:w="722"/>
        <w:gridCol w:w="695"/>
        <w:gridCol w:w="668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1" w:hRule="atLeast"/>
          <w:jc w:val="center"/>
        </w:trPr>
        <w:tc>
          <w:tcPr>
            <w:tcW w:w="1101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7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中央对地方转移支付项目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绩效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评价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spacing w:val="0"/>
                <w:lang w:val="en-US" w:eastAsia="zh-CN" w:bidi="ar"/>
              </w:rPr>
              <w:t xml:space="preserve"> 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01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医疗服务与保障能力提升（公立医院综合改革）补助资金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9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国家卫生健康委、国家中医药局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省卫生健康委、省中药局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实施单位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5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项目资金（万元）</w:t>
            </w: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其中：中央补助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48555</w:t>
            </w:r>
          </w:p>
        </w:tc>
        <w:tc>
          <w:tcPr>
            <w:tcW w:w="2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46748.15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96.28%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 w:bidi="ar"/>
              </w:rPr>
              <w:t xml:space="preserve">    地方资金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 w:bidi="ar"/>
              </w:rPr>
              <w:t>其他资金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 w:bidi="ar"/>
              </w:rPr>
              <w:t>（包括结转结余）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5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 xml:space="preserve"> 基本建立具有中国特色的权责清晰、管理科学、治理完善、运行高效、监督有力的现代医院管理制度，建立维护公益性、调动积极性、保障可持续的运行新机制和科学合理的补偿机制。</w:t>
            </w:r>
          </w:p>
        </w:tc>
        <w:tc>
          <w:tcPr>
            <w:tcW w:w="5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我省坚持公立医院改革与管理并重，推动公立医院高质量发展。印发《广东省深入推广福建省三明市经验 深化医药卫生体制改革实施方案》，推广学习福建省和三明市医改经验。建立健全现代医院管理制度，研究起草关于推动公立医院高质量发展的实施意见，在中山一院、香港大学深圳医院开展试点工作。持续推进高水平医院建设。全省共投入150亿元支持建设50家高水平医院，实现21个地市高水平医院全覆盖。推动公立医院人事薪酬制度改革。深圳、珠海、东莞以市为单位、其他地市各选择1家以上公立医院开展试点。健全公立医院绩效考核机制，改革完善医疗卫生行业综合监管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数值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数值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2019年数值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2018年数值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医疗服务收入（不含药品、耗材、检查、化验收入）占公立医院医疗收入的比例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30.74%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30.64%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公立医院资产负债率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41.48%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41.05%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原因：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受个别地市基建账并账及疫苗采购应付账款增加等影响较2020年小幅上涨，与去年相比基本保持平稳，且低于国家平均水平。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整改措施：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进一步加强公立医院发展的统筹规划，助力公立医院良性运营。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公立医院基本建设、设备购置长期负债占总资产的比例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2.99%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3.48%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1000张及以上床位大型公立医院安防系统建设达标率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≥85％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87.77%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1000张及以上床位大型公立医院安检覆盖率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≥75％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75.00%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出院患者手术占比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32.51%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30.47%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三级公立医院出院患者四级手术比例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14.54%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13.19%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公立医院平均住院日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较上年降低或≤9.35天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8.52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公立医院百元医疗收入的医疗支出（不含药品收入）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122.59元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129.02元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基层医疗卫生机构诊疗人次数占医疗卫生机构诊疗总人次数的比例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45.9%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48.10%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</w:rPr>
              <w:t>原因：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（一）各级对分级诊疗制度建设认识有待进一步提高，分级诊疗制度尚不完善。（二）各地区基层卫生健康服务均衡性不足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基层医疗机构医疗服务能力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有待进一步提高。（三）疫情影响基层诊疗量。（四）诊疗信息不准确,存在少报、漏报。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</w:rPr>
              <w:t>整改措施：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加强组织领导；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强化分级诊疗制度建设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全面落实“公益一类财政供给、公益二类绩效管理”等政策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；三是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提升基层服务能力；四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强化督促整改；五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加强信息质控，进一步加强信息系统建设。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公立医院每门急诊人次平均收费水平增长比例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-3.14%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14.34%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公立医院出院者平均医药费用增长比例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4.27%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12.43%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三级公立医院门诊人次数与出院人次数比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21.71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27.71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可持续影响指标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管理费用占公立医院业务支出的比例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12.24%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12.57%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三级公立医院万元收入能耗支出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84.98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实现收支平衡的公立医院数占公立医院总数的比例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71.66%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72.61%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原因：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2021年受疫情政策等影响占比略有下降，但整体高于国家平均水平。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整改措施：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进一步落实经济管理年活动，加强成本控制与预算管理，增加收支平衡机构比例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公立医院职工满意度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≥71分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公立医院门诊患者满意度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≥87分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84.83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原因：参加满意度调查医院逐年增加，且均为二级医院，患者满意度工作不到位。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整改措施：1、完善预约诊疗制度，优化预约诊疗流程，提升患者诊疗挂号体验；2、加强医院诊疗环境，落实院内指引和标识，提供良好就医体验。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公立医院住院患者满意度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≥91分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90.03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原因：参加满意度调查医院逐年增加，且均为二级医院，患者满意度工作不到位。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整改措施：1、优化出入院手续办理流程，加强智慧医院建设，提供便捷的信息录入服务；2、提高院内补充服务，如饭菜质量、被褥服务等，建立和谐医患关系。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03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0275"/>
    <w:rsid w:val="049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="Times New Roman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2022-03-23T06:09:00Z</dcterms:created>
  <dc:creator>user</dc:creator>
  <cp:lastModifiedBy>user</cp:lastModifiedBy>
  <dcterms:modified xsi:type="dcterms:W3CDTF">2022-03-23T06:10:09Z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