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 w:val="32"/>
          <w:szCs w:val="32"/>
        </w:rPr>
      </w:pPr>
      <w:bookmarkStart w:id="0" w:name="_Toc478809029"/>
      <w:r>
        <w:rPr>
          <w:rFonts w:eastAsia="黑体"/>
          <w:sz w:val="32"/>
          <w:szCs w:val="32"/>
        </w:rPr>
        <w:t>附</w:t>
      </w:r>
      <w:r>
        <w:rPr>
          <w:rFonts w:hint="eastAsia" w:eastAsia="黑体"/>
          <w:sz w:val="32"/>
          <w:szCs w:val="32"/>
          <w:lang w:val="en-US" w:eastAsia="zh-CN"/>
        </w:rPr>
        <w:t>件</w:t>
      </w:r>
      <w:r>
        <w:rPr>
          <w:rFonts w:hint="eastAsia" w:eastAsia="黑体"/>
          <w:sz w:val="32"/>
          <w:szCs w:val="32"/>
        </w:rPr>
        <w:t>1</w:t>
      </w:r>
    </w:p>
    <w:bookmarkEnd w:id="0"/>
    <w:p>
      <w:pPr>
        <w:spacing w:line="660" w:lineRule="exact"/>
        <w:jc w:val="center"/>
        <w:rPr>
          <w:rFonts w:eastAsia="方正小标宋简体"/>
          <w:bCs/>
          <w:sz w:val="36"/>
          <w:szCs w:val="36"/>
        </w:rPr>
      </w:pPr>
      <w:r>
        <w:rPr>
          <w:rFonts w:hint="eastAsia" w:eastAsia="方正小标宋简体"/>
          <w:bCs/>
          <w:sz w:val="36"/>
          <w:szCs w:val="36"/>
          <w:lang w:val="en-US" w:eastAsia="zh-CN"/>
        </w:rPr>
        <w:t>职业病危害</w:t>
      </w:r>
      <w:r>
        <w:rPr>
          <w:rFonts w:eastAsia="方正小标宋简体"/>
          <w:bCs/>
          <w:sz w:val="36"/>
          <w:szCs w:val="36"/>
        </w:rPr>
        <w:t>治理</w:t>
      </w:r>
      <w:r>
        <w:rPr>
          <w:rFonts w:hint="eastAsia" w:eastAsia="方正小标宋简体"/>
          <w:bCs/>
          <w:sz w:val="36"/>
          <w:szCs w:val="36"/>
        </w:rPr>
        <w:t>企业</w:t>
      </w:r>
      <w:r>
        <w:rPr>
          <w:rFonts w:eastAsia="方正小标宋简体"/>
          <w:bCs/>
          <w:sz w:val="36"/>
          <w:szCs w:val="36"/>
        </w:rPr>
        <w:t>基本情况登记表</w:t>
      </w:r>
    </w:p>
    <w:p>
      <w:pPr>
        <w:spacing w:before="218" w:beforeLine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填报单位：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填表人：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708"/>
        <w:gridCol w:w="2079"/>
        <w:gridCol w:w="888"/>
        <w:gridCol w:w="892"/>
        <w:gridCol w:w="888"/>
        <w:gridCol w:w="892"/>
        <w:gridCol w:w="888"/>
        <w:gridCol w:w="1137"/>
        <w:gridCol w:w="1381"/>
        <w:gridCol w:w="4811"/>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83" w:hRule="atLeast"/>
          <w:jc w:val="center"/>
        </w:trPr>
        <w:tc>
          <w:tcPr>
            <w:tcW w:w="14564" w:type="dxa"/>
            <w:gridSpan w:val="10"/>
            <w:tcBorders>
              <w:bottom w:val="single" w:color="auto" w:sz="4" w:space="0"/>
            </w:tcBorders>
            <w:noWrap w:val="0"/>
            <w:vAlign w:val="center"/>
          </w:tcPr>
          <w:p>
            <w:pPr>
              <w:spacing w:line="240" w:lineRule="exact"/>
              <w:jc w:val="left"/>
              <w:rPr>
                <w:rFonts w:eastAsia="黑体"/>
                <w:sz w:val="21"/>
                <w:szCs w:val="21"/>
              </w:rPr>
            </w:pPr>
            <w:r>
              <w:rPr>
                <w:rFonts w:eastAsia="黑体"/>
                <w:sz w:val="21"/>
                <w:szCs w:val="21"/>
              </w:rPr>
              <w:t>一、行业（编码）</w:t>
            </w:r>
            <w:r>
              <w:rPr>
                <w:sz w:val="21"/>
                <w:szCs w:val="21"/>
                <w:vertAlign w:val="superscript"/>
              </w:rPr>
              <w:t>[1]</w:t>
            </w:r>
            <w:r>
              <w:rPr>
                <w:rFonts w:eastAsia="黑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71" w:hRule="atLeast"/>
          <w:jc w:val="center"/>
        </w:trPr>
        <w:tc>
          <w:tcPr>
            <w:tcW w:w="70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207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企业</w:t>
            </w:r>
            <w:r>
              <w:rPr>
                <w:rFonts w:hint="default" w:ascii="Times New Roman" w:hAnsi="Times New Roman" w:eastAsia="仿宋_GB2312" w:cs="Times New Roman"/>
                <w:sz w:val="21"/>
                <w:szCs w:val="21"/>
              </w:rPr>
              <w:t>名称</w:t>
            </w: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地级市</w:t>
            </w: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规模</w:t>
            </w:r>
            <w:r>
              <w:rPr>
                <w:rFonts w:hint="default" w:ascii="Times New Roman" w:hAnsi="Times New Roman" w:eastAsia="仿宋_GB2312" w:cs="Times New Roman"/>
                <w:sz w:val="21"/>
                <w:szCs w:val="21"/>
                <w:vertAlign w:val="superscript"/>
              </w:rPr>
              <w:t>[2]</w:t>
            </w: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类型</w:t>
            </w:r>
            <w:r>
              <w:rPr>
                <w:rFonts w:hint="default" w:ascii="Times New Roman" w:hAnsi="Times New Roman" w:eastAsia="仿宋_GB2312" w:cs="Times New Roman"/>
                <w:sz w:val="21"/>
                <w:szCs w:val="21"/>
                <w:vertAlign w:val="superscript"/>
              </w:rPr>
              <w:t>[3]</w:t>
            </w: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从业人员总数</w:t>
            </w: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接触</w:t>
            </w:r>
            <w:r>
              <w:rPr>
                <w:rFonts w:hint="default" w:ascii="Times New Roman" w:hAnsi="Times New Roman" w:eastAsia="仿宋_GB2312" w:cs="Times New Roman"/>
                <w:sz w:val="21"/>
                <w:szCs w:val="21"/>
                <w:lang w:val="en-US" w:eastAsia="zh-CN"/>
              </w:rPr>
              <w:t>尘毒噪职业病</w:t>
            </w:r>
            <w:r>
              <w:rPr>
                <w:rFonts w:hint="default" w:ascii="Times New Roman" w:hAnsi="Times New Roman" w:eastAsia="仿宋_GB2312" w:cs="Times New Roman"/>
                <w:sz w:val="21"/>
                <w:szCs w:val="21"/>
              </w:rPr>
              <w:t>危害人数</w:t>
            </w:r>
          </w:p>
        </w:tc>
        <w:tc>
          <w:tcPr>
            <w:tcW w:w="113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近三年是否开展定期检测</w:t>
            </w:r>
          </w:p>
        </w:tc>
        <w:tc>
          <w:tcPr>
            <w:tcW w:w="138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是否进行职业病危害项目申报</w:t>
            </w:r>
          </w:p>
        </w:tc>
        <w:tc>
          <w:tcPr>
            <w:tcW w:w="481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作业岗位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超标数量/检测数量</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37" w:hRule="atLeast"/>
          <w:jc w:val="center"/>
        </w:trPr>
        <w:tc>
          <w:tcPr>
            <w:tcW w:w="70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207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113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138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p>
        </w:tc>
        <w:tc>
          <w:tcPr>
            <w:tcW w:w="481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治理前粉尘（  /  ）、化学毒物（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噪声（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治理后粉尘（  /  ）、化学毒物（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噪声（  /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0" w:hRule="atLeast"/>
          <w:jc w:val="center"/>
        </w:trPr>
        <w:tc>
          <w:tcPr>
            <w:tcW w:w="14564" w:type="dxa"/>
            <w:gridSpan w:val="10"/>
            <w:noWrap w:val="0"/>
            <w:vAlign w:val="center"/>
          </w:tcPr>
          <w:p>
            <w:pPr>
              <w:spacing w:line="240" w:lineRule="exact"/>
              <w:jc w:val="left"/>
              <w:rPr>
                <w:rFonts w:hint="eastAsia"/>
                <w:sz w:val="21"/>
                <w:szCs w:val="21"/>
              </w:rPr>
            </w:pPr>
            <w:r>
              <w:rPr>
                <w:rFonts w:hint="eastAsia" w:eastAsia="黑体"/>
                <w:sz w:val="21"/>
                <w:szCs w:val="21"/>
              </w:rPr>
              <w:t>二</w:t>
            </w:r>
            <w:r>
              <w:rPr>
                <w:rFonts w:eastAsia="黑体"/>
                <w:sz w:val="21"/>
                <w:szCs w:val="21"/>
              </w:rPr>
              <w:t>、行业（编码）</w:t>
            </w:r>
            <w:r>
              <w:rPr>
                <w:sz w:val="21"/>
                <w:szCs w:val="21"/>
                <w:vertAlign w:val="superscript"/>
              </w:rPr>
              <w:t>[1]</w:t>
            </w:r>
            <w:r>
              <w:rPr>
                <w:rFonts w:eastAsia="黑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4" w:hRule="atLeast"/>
          <w:jc w:val="center"/>
        </w:trPr>
        <w:tc>
          <w:tcPr>
            <w:tcW w:w="70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p>
        </w:tc>
        <w:tc>
          <w:tcPr>
            <w:tcW w:w="207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89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8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113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138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eastAsia="zh-CN"/>
              </w:rPr>
            </w:pPr>
          </w:p>
        </w:tc>
        <w:tc>
          <w:tcPr>
            <w:tcW w:w="481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治理前粉尘（  /  ）、化学毒物（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噪声（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治理后粉尘（  /  ）、化学毒物（  /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噪声（  /  ）</w:t>
            </w:r>
          </w:p>
        </w:tc>
      </w:tr>
    </w:tbl>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说明：1</w:t>
      </w:r>
      <w:r>
        <w:rPr>
          <w:rFonts w:hint="default" w:ascii="仿宋_GB2312" w:hAnsi="仿宋_GB2312" w:eastAsia="仿宋_GB2312" w:cs="仿宋_GB2312"/>
          <w:sz w:val="24"/>
          <w:szCs w:val="24"/>
        </w:rPr>
        <w:t>.</w:t>
      </w:r>
      <w:r>
        <w:rPr>
          <w:rFonts w:hint="default" w:ascii="Times New Roman" w:hAnsi="Times New Roman" w:eastAsia="仿宋_GB2312" w:cs="Times New Roman"/>
          <w:sz w:val="24"/>
          <w:szCs w:val="24"/>
        </w:rPr>
        <w:t>*参照《国家卫生健康委办公厅关于公布建设项目职业病危害风险分类管理目录的通知》（国卫办职健发[2021]5号）</w:t>
      </w:r>
    </w:p>
    <w:p>
      <w:pPr>
        <w:spacing w:line="280" w:lineRule="exact"/>
        <w:ind w:left="958" w:leftChars="342" w:hanging="240" w:hanging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eastAsia" w:ascii="仿宋_GB2312" w:hAnsi="仿宋_GB2312" w:eastAsia="仿宋_GB2312" w:cs="仿宋_GB2312"/>
          <w:sz w:val="24"/>
          <w:szCs w:val="24"/>
        </w:rPr>
        <w:t>.</w:t>
      </w:r>
      <w:r>
        <w:rPr>
          <w:rFonts w:hint="default" w:ascii="Times New Roman" w:hAnsi="Times New Roman" w:eastAsia="仿宋_GB2312" w:cs="Times New Roman"/>
          <w:sz w:val="24"/>
          <w:szCs w:val="24"/>
        </w:rPr>
        <w:t>规模按照以下分类填写：大型（从业人员≥1000人，营业收入≥40000万元）、中型（300≤从业人员＜1000人，2000≤营业收入＜40000万元）、小型（20人≤从业人员＜300人，300万元≤营业收入＜2000万元）、微型（从业人员＜20人或营业收入＜300万元）。</w:t>
      </w:r>
    </w:p>
    <w:p>
      <w:pPr>
        <w:spacing w:line="280" w:lineRule="exact"/>
        <w:ind w:firstLine="720" w:firstLineChars="3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仿宋_GB2312" w:hAnsi="仿宋_GB2312" w:eastAsia="仿宋_GB2312" w:cs="仿宋_GB2312"/>
          <w:sz w:val="24"/>
          <w:szCs w:val="24"/>
        </w:rPr>
        <w:t>.</w:t>
      </w:r>
      <w:r>
        <w:rPr>
          <w:rFonts w:hint="default" w:ascii="Times New Roman" w:hAnsi="Times New Roman" w:eastAsia="仿宋_GB2312" w:cs="Times New Roman"/>
          <w:sz w:val="24"/>
          <w:szCs w:val="24"/>
        </w:rPr>
        <w:t>注册类型按照以下分类填写:央企、地方国有、集体、私营、港澳台、外资、其他。</w:t>
      </w:r>
    </w:p>
    <w:p>
      <w:pPr>
        <w:spacing w:line="280" w:lineRule="exact"/>
        <w:ind w:firstLine="720" w:firstLineChars="3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r>
        <w:rPr>
          <w:rFonts w:hint="default" w:ascii="仿宋_GB2312" w:hAnsi="仿宋_GB2312" w:eastAsia="仿宋_GB2312" w:cs="仿宋_GB2312"/>
          <w:sz w:val="24"/>
          <w:szCs w:val="24"/>
        </w:rPr>
        <w:t>.</w:t>
      </w:r>
      <w:r>
        <w:rPr>
          <w:rFonts w:hint="default" w:ascii="Times New Roman" w:hAnsi="Times New Roman" w:eastAsia="仿宋_GB2312" w:cs="Times New Roman"/>
          <w:sz w:val="24"/>
          <w:szCs w:val="24"/>
        </w:rPr>
        <w:t>此表应当逐级报送，</w:t>
      </w:r>
      <w:r>
        <w:rPr>
          <w:rFonts w:hint="default" w:ascii="Times New Roman" w:hAnsi="Times New Roman" w:eastAsia="仿宋_GB2312" w:cs="Times New Roman"/>
          <w:sz w:val="24"/>
          <w:szCs w:val="24"/>
          <w:lang w:val="en-US" w:eastAsia="zh-CN"/>
        </w:rPr>
        <w:t>地级以上市</w:t>
      </w:r>
      <w:r>
        <w:rPr>
          <w:rFonts w:hint="default" w:ascii="Times New Roman" w:hAnsi="Times New Roman" w:eastAsia="仿宋_GB2312" w:cs="Times New Roman"/>
          <w:sz w:val="24"/>
          <w:szCs w:val="24"/>
        </w:rPr>
        <w:t>卫生健康行政部门于2022年7月30日前报送我委职业健康处。</w:t>
      </w:r>
      <w:bookmarkStart w:id="1" w:name="_GoBack"/>
      <w:bookmarkEnd w:id="1"/>
    </w:p>
    <w:p>
      <w:pPr>
        <w:pStyle w:val="3"/>
        <w:rPr>
          <w:rFonts w:hint="eastAsia" w:ascii="Times New Roman" w:hAnsi="Times New Roman" w:eastAsia="仿宋_GB2312" w:cs="Times New Roman"/>
          <w:sz w:val="24"/>
          <w:szCs w:val="24"/>
          <w:lang w:eastAsia="zh-CN"/>
        </w:rPr>
      </w:pPr>
    </w:p>
    <w:sectPr>
      <w:footerReference r:id="rId3" w:type="default"/>
      <w:pgSz w:w="16838" w:h="11906" w:orient="landscape"/>
      <w:pgMar w:top="1531" w:right="2041" w:bottom="1531" w:left="2041" w:header="851" w:footer="133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89"/>
    <w:rsid w:val="000A0E08"/>
    <w:rsid w:val="000E03B6"/>
    <w:rsid w:val="00165B6D"/>
    <w:rsid w:val="00395FEE"/>
    <w:rsid w:val="0065555D"/>
    <w:rsid w:val="00753689"/>
    <w:rsid w:val="00767979"/>
    <w:rsid w:val="008A488B"/>
    <w:rsid w:val="00954974"/>
    <w:rsid w:val="00A67997"/>
    <w:rsid w:val="00A83D39"/>
    <w:rsid w:val="00DD45D7"/>
    <w:rsid w:val="00E816A1"/>
    <w:rsid w:val="00EA23EA"/>
    <w:rsid w:val="00ED77FC"/>
    <w:rsid w:val="00F002B2"/>
    <w:rsid w:val="00F074C9"/>
    <w:rsid w:val="01607155"/>
    <w:rsid w:val="017A693C"/>
    <w:rsid w:val="021C21DE"/>
    <w:rsid w:val="0460743B"/>
    <w:rsid w:val="04E11CA6"/>
    <w:rsid w:val="04EB6985"/>
    <w:rsid w:val="05F57857"/>
    <w:rsid w:val="064C7F57"/>
    <w:rsid w:val="06E64E63"/>
    <w:rsid w:val="07365193"/>
    <w:rsid w:val="082500FC"/>
    <w:rsid w:val="08362309"/>
    <w:rsid w:val="086428FA"/>
    <w:rsid w:val="09BA4BDB"/>
    <w:rsid w:val="0AA94AE0"/>
    <w:rsid w:val="0B5F67AC"/>
    <w:rsid w:val="0BB40683"/>
    <w:rsid w:val="0C0F69F6"/>
    <w:rsid w:val="0F841202"/>
    <w:rsid w:val="10E304FC"/>
    <w:rsid w:val="12EC4418"/>
    <w:rsid w:val="13593824"/>
    <w:rsid w:val="15551BF0"/>
    <w:rsid w:val="15A223CD"/>
    <w:rsid w:val="160C27D4"/>
    <w:rsid w:val="16513466"/>
    <w:rsid w:val="1688427B"/>
    <w:rsid w:val="17BC6F15"/>
    <w:rsid w:val="19F20775"/>
    <w:rsid w:val="1A6648F5"/>
    <w:rsid w:val="1B6C1CB8"/>
    <w:rsid w:val="1B7250A7"/>
    <w:rsid w:val="1CDD1BF1"/>
    <w:rsid w:val="1D3F5AAA"/>
    <w:rsid w:val="1DBF50AF"/>
    <w:rsid w:val="1E1076F9"/>
    <w:rsid w:val="1F066139"/>
    <w:rsid w:val="1FCD64DD"/>
    <w:rsid w:val="21064B13"/>
    <w:rsid w:val="21960108"/>
    <w:rsid w:val="225B2773"/>
    <w:rsid w:val="225B7CD4"/>
    <w:rsid w:val="22644933"/>
    <w:rsid w:val="23687475"/>
    <w:rsid w:val="23B82194"/>
    <w:rsid w:val="27E9797B"/>
    <w:rsid w:val="2AE337D3"/>
    <w:rsid w:val="2C9A1C72"/>
    <w:rsid w:val="2D0507F1"/>
    <w:rsid w:val="2F0D0AC9"/>
    <w:rsid w:val="3002018D"/>
    <w:rsid w:val="300B6BE0"/>
    <w:rsid w:val="306040AC"/>
    <w:rsid w:val="306552AD"/>
    <w:rsid w:val="30E82421"/>
    <w:rsid w:val="31C815E3"/>
    <w:rsid w:val="3268280F"/>
    <w:rsid w:val="32BF6412"/>
    <w:rsid w:val="359E128F"/>
    <w:rsid w:val="367E4D51"/>
    <w:rsid w:val="371C518C"/>
    <w:rsid w:val="37921D98"/>
    <w:rsid w:val="388D2555"/>
    <w:rsid w:val="39AC2CAD"/>
    <w:rsid w:val="39F0340F"/>
    <w:rsid w:val="39F75EA6"/>
    <w:rsid w:val="3AB752F8"/>
    <w:rsid w:val="3B103BC9"/>
    <w:rsid w:val="40A66776"/>
    <w:rsid w:val="43C10EA3"/>
    <w:rsid w:val="44CD5796"/>
    <w:rsid w:val="452B5F6A"/>
    <w:rsid w:val="45576E3F"/>
    <w:rsid w:val="45803E40"/>
    <w:rsid w:val="45EA5542"/>
    <w:rsid w:val="483205B6"/>
    <w:rsid w:val="4A4F31F8"/>
    <w:rsid w:val="4A6F547D"/>
    <w:rsid w:val="4BB72ED3"/>
    <w:rsid w:val="4BEE16EF"/>
    <w:rsid w:val="4CD517ED"/>
    <w:rsid w:val="4D09180F"/>
    <w:rsid w:val="4D317F76"/>
    <w:rsid w:val="4DD147E3"/>
    <w:rsid w:val="4F224D39"/>
    <w:rsid w:val="50067498"/>
    <w:rsid w:val="50120DD2"/>
    <w:rsid w:val="506649CE"/>
    <w:rsid w:val="515931D2"/>
    <w:rsid w:val="51A23A14"/>
    <w:rsid w:val="53A56FC8"/>
    <w:rsid w:val="55102C10"/>
    <w:rsid w:val="561E576E"/>
    <w:rsid w:val="5705532C"/>
    <w:rsid w:val="573C57D7"/>
    <w:rsid w:val="57855F9F"/>
    <w:rsid w:val="57CF233B"/>
    <w:rsid w:val="594509F8"/>
    <w:rsid w:val="59EB1C34"/>
    <w:rsid w:val="5AA62E48"/>
    <w:rsid w:val="5B6041AB"/>
    <w:rsid w:val="5BEEFABE"/>
    <w:rsid w:val="5DFC1EDA"/>
    <w:rsid w:val="5F5B4AC6"/>
    <w:rsid w:val="5F74A3F7"/>
    <w:rsid w:val="5F827A83"/>
    <w:rsid w:val="5FCD7C8D"/>
    <w:rsid w:val="604B79A7"/>
    <w:rsid w:val="639871AB"/>
    <w:rsid w:val="6668772B"/>
    <w:rsid w:val="66B50E9A"/>
    <w:rsid w:val="67180834"/>
    <w:rsid w:val="67AC1215"/>
    <w:rsid w:val="67E4732D"/>
    <w:rsid w:val="693120A1"/>
    <w:rsid w:val="6A3B4BD9"/>
    <w:rsid w:val="6A5E5639"/>
    <w:rsid w:val="6BCC6DDD"/>
    <w:rsid w:val="6CA01F16"/>
    <w:rsid w:val="6D9041B5"/>
    <w:rsid w:val="70497C3B"/>
    <w:rsid w:val="70A21EE6"/>
    <w:rsid w:val="717A19C2"/>
    <w:rsid w:val="738F6910"/>
    <w:rsid w:val="73B967D6"/>
    <w:rsid w:val="7434296E"/>
    <w:rsid w:val="74364139"/>
    <w:rsid w:val="74F5B9FB"/>
    <w:rsid w:val="75062319"/>
    <w:rsid w:val="751E4F22"/>
    <w:rsid w:val="7832617D"/>
    <w:rsid w:val="78424CE5"/>
    <w:rsid w:val="79A35F22"/>
    <w:rsid w:val="79D1753D"/>
    <w:rsid w:val="79F0733B"/>
    <w:rsid w:val="7B4E49A6"/>
    <w:rsid w:val="7BEF49E8"/>
    <w:rsid w:val="7E1F61C5"/>
    <w:rsid w:val="7E5225AE"/>
    <w:rsid w:val="7FFF4158"/>
    <w:rsid w:val="7FFF8231"/>
    <w:rsid w:val="D7FFD1AA"/>
    <w:rsid w:val="DFA741D9"/>
    <w:rsid w:val="EFDBC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paragraph" w:styleId="4">
    <w:name w:val="heading 2"/>
    <w:basedOn w:val="1"/>
    <w:next w:val="1"/>
    <w:qFormat/>
    <w:uiPriority w:val="9"/>
    <w:pPr>
      <w:keepNext/>
      <w:keepLines/>
      <w:autoSpaceDE w:val="0"/>
      <w:autoSpaceDN w:val="0"/>
      <w:jc w:val="left"/>
      <w:outlineLvl w:val="1"/>
    </w:pPr>
    <w:rPr>
      <w:rFonts w:ascii="Calibri Light" w:hAnsi="Calibri Light" w:eastAsia="黑体" w:cs="Times New Roman"/>
      <w:b/>
      <w:bCs/>
      <w:kern w:val="0"/>
      <w:sz w:val="32"/>
      <w:szCs w:val="32"/>
      <w:lang w:val="zh-CN" w:bidi="zh-CN"/>
    </w:rPr>
  </w:style>
  <w:style w:type="paragraph" w:styleId="5">
    <w:name w:val="heading 3"/>
    <w:next w:val="1"/>
    <w:qFormat/>
    <w:uiPriority w:val="0"/>
    <w:pPr>
      <w:keepNext/>
      <w:keepLines/>
      <w:widowControl w:val="0"/>
      <w:spacing w:before="260" w:after="260" w:line="413" w:lineRule="auto"/>
      <w:jc w:val="both"/>
      <w:outlineLvl w:val="2"/>
    </w:pPr>
    <w:rPr>
      <w:rFonts w:ascii="等线" w:hAnsi="等线" w:eastAsia="等线" w:cs="宋体"/>
      <w:b/>
      <w:kern w:val="2"/>
      <w:sz w:val="32"/>
      <w:szCs w:val="22"/>
      <w:lang w:val="en-US" w:eastAsia="zh-CN" w:bidi="ar-SA"/>
    </w:rPr>
  </w:style>
  <w:style w:type="character" w:default="1" w:styleId="11">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Normal Indent"/>
    <w:basedOn w:val="1"/>
    <w:next w:val="3"/>
    <w:uiPriority w:val="0"/>
    <w:pPr>
      <w:ind w:firstLine="420" w:firstLineChars="200"/>
    </w:pPr>
    <w:rPr>
      <w:rFonts w:ascii="Calibri" w:hAnsi="Calibri" w:eastAsia="仿宋_GB2312" w:cs="Times New Roman"/>
      <w:sz w:val="32"/>
      <w:lang w:bidi="ar-SA"/>
    </w:rPr>
  </w:style>
  <w:style w:type="paragraph" w:styleId="3">
    <w:name w:val="envelope return"/>
    <w:basedOn w:val="1"/>
    <w:uiPriority w:val="0"/>
    <w:pPr>
      <w:snapToGrid w:val="0"/>
    </w:pPr>
    <w:rPr>
      <w:rFonts w:ascii="Arial" w:hAnsi="Arial" w:eastAsia="仿宋_GB2312" w:cs="Times New Roman"/>
      <w:sz w:val="32"/>
      <w:lang w:bidi="ar-SA"/>
    </w:rPr>
  </w:style>
  <w:style w:type="paragraph" w:styleId="6">
    <w:name w:val="annotation text"/>
    <w:basedOn w:val="1"/>
    <w:uiPriority w:val="0"/>
    <w:pPr>
      <w:jc w:val="left"/>
    </w:pPr>
    <w:rPr>
      <w:rFonts w:ascii="Times New Roman" w:hAnsi="Times New Roman" w:eastAsia="仿宋_GB2312" w:cs="Times New Roman"/>
      <w:sz w:val="32"/>
      <w:lang w:bidi="ar-SA"/>
    </w:rPr>
  </w:style>
  <w:style w:type="paragraph" w:styleId="7">
    <w:name w:val="Plain Text"/>
    <w:basedOn w:val="1"/>
    <w:qFormat/>
    <w:uiPriority w:val="0"/>
    <w:rPr>
      <w:rFonts w:ascii="宋体" w:hAnsi="Courier New" w:eastAsia="仿宋_GB2312" w:cs="Times New Roman"/>
      <w:sz w:val="32"/>
      <w:szCs w:val="21"/>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2">
    <w:name w:val="page number"/>
    <w:uiPriority w:val="0"/>
    <w:rPr>
      <w:rFonts w:ascii="Calibri" w:hAnsi="Calibri" w:eastAsia="宋体" w:cs="Times New Roman"/>
    </w:rPr>
  </w:style>
  <w:style w:type="character" w:customStyle="1" w:styleId="13">
    <w:name w:val="NormalCharacter"/>
    <w:uiPriority w:val="0"/>
    <w:rPr>
      <w:rFonts w:ascii="Calibri" w:hAnsi="Calibri" w:eastAsia="宋体" w:cs="Times New Roman"/>
    </w:rPr>
  </w:style>
  <w:style w:type="paragraph" w:customStyle="1" w:styleId="14">
    <w:name w:val="章标题"/>
    <w:next w:val="1"/>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等线" w:eastAsia="等线" w:cs="Times New Roman"/>
      <w:kern w:val="2"/>
      <w:sz w:val="22"/>
      <w:szCs w:val="22"/>
      <w:lang w:val="en-US" w:eastAsia="zh-CN" w:bidi="ar-SA"/>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2012-04-23T23:15:23Z</dcterms:created>
  <dc:creator>张婉玲</dc:creator>
  <cp:lastModifiedBy>LINNN000</cp:lastModifiedBy>
  <dcterms:modified xsi:type="dcterms:W3CDTF">2022-01-27T02:10:22Z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24C2B20E9C894C8CB0399E1B69063D1D</vt:lpwstr>
  </property>
</Properties>
</file>