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  <w:t>市级新生儿听力筛查中心名单</w:t>
      </w:r>
    </w:p>
    <w:bookmarkEnd w:id="0"/>
    <w:tbl>
      <w:tblPr>
        <w:tblStyle w:val="4"/>
        <w:tblpPr w:leftFromText="180" w:rightFromText="180" w:vertAnchor="text" w:horzAnchor="page" w:tblpX="1882" w:tblpY="25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21"/>
        <w:gridCol w:w="6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6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梅州市妇幼保健计划生育服务中心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z w:val="30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2"/>
                <w:sz w:val="30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napToGrid w:val="0"/>
              <w:spacing w:beforeLines="0" w:afterLines="0"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8"/>
                <w:szCs w:val="28"/>
                <w:u w:val="none"/>
                <w:lang w:val="en-US" w:eastAsia="zh-CN" w:bidi="ar"/>
              </w:rPr>
              <w:t>茂名市妇幼保健院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仿宋_GB2312" w:cs="Times New Roman"/>
          <w:sz w:val="30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Lines="0" w:afterLines="0" w:line="240" w:lineRule="exact"/>
        <w:jc w:val="left"/>
        <w:textAlignment w:val="center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3604"/>
    <w:rsid w:val="2F463604"/>
    <w:rsid w:val="540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2022-01-20T09:55:00Z</dcterms:created>
  <dc:creator>Administrator</dc:creator>
  <cp:lastModifiedBy>Administrator</cp:lastModifiedBy>
  <dcterms:modified xsi:type="dcterms:W3CDTF">2022-01-20T09:56:47Z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