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广东省新增现代医院管理制度试点医院名单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0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lang w:val="en-US"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广州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广东省第二人民医院、南方医科大学珠江医院、暨南大学附属第一医院、广州市第八人民医院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深圳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深圳市中医院、深圳市儿童医院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韶关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韶关市第一人民医院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梅州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中山大学附属第三医院粤东医院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汕尾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中山大学孙逸仙纪念医院深汕中心医院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东莞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东莞市人民医院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揭阳</w:t>
            </w:r>
          </w:p>
        </w:tc>
        <w:tc>
          <w:tcPr>
            <w:tcW w:w="6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0"/>
                <w:szCs w:val="30"/>
                <w:lang w:val="en-US" w:eastAsia="zh-CN"/>
              </w:rPr>
              <w:t>揭阳市人民医院、普宁市人民医院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87F69"/>
    <w:rsid w:val="498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2021-12-31T01:50:00Z</dcterms:created>
  <dc:creator>user</dc:creator>
  <cp:lastModifiedBy>user</cp:lastModifiedBy>
  <dcterms:modified xsi:type="dcterms:W3CDTF">2021-12-31T01:50:11Z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