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2"/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2"/>
        <w:rPr>
          <w:rFonts w:hint="default" w:ascii="Times New Roman" w:hAnsi="Times New Roman" w:eastAsia="方正小标宋简体" w:cs="Times New Roman"/>
          <w:b/>
          <w:bCs/>
          <w:color w:val="auto"/>
          <w:spacing w:val="-3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  <w:highlight w:val="none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2021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highlight w:val="no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highlight w:val="none"/>
        </w:rPr>
        <w:t>国家基本公共卫生服务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4"/>
          <w:sz w:val="44"/>
          <w:szCs w:val="44"/>
          <w:highlight w:val="none"/>
        </w:rPr>
        <w:t>项目实施方案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rPr>
          <w:rFonts w:hint="default" w:ascii="Times New Roman" w:hAnsi="Times New Roman" w:eastAsia="Arial Unicode MS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textAlignment w:val="auto"/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为继续统筹做好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新冠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疫情常态化防控形势下的基本公共卫生服务项目工作，持续扩大基本公共卫生服务覆盖面、优化服务内涵、提高服务质量，有效提升基本公共卫生服务均等化水平，进一步推进健康广东建设，制定本方案。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一、年度目标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textAlignment w:val="auto"/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按照财政部 国家卫生健康委关于下达2021年基本公共卫生服务补助资金预算的通知（财社〔2021〕32号）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确定的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2021年度中央</w:t>
      </w:r>
      <w:r>
        <w:rPr>
          <w:rFonts w:hint="eastAsia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地方转移支付基本公共卫生服务</w:t>
      </w:r>
      <w:r>
        <w:rPr>
          <w:rFonts w:hint="eastAsia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补助资金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的整体绩效目标和区域绩效目标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结合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我省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实际，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确定了2021年度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广东省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绩效目标（见附件1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服务对象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56" w:firstLineChars="200"/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辖区内常住居民（指居住半年以上的户籍及非户籍居民），以0～6岁儿童、孕产妇、老年人、慢性病患者、严重精神障碍患者和肺结核患者等人群为重点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，包含在我省居住的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港澳台居民居住证持有人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、主要任务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（一）做好常态化疫情防控工作。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3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</w:rPr>
        <w:t>发挥基层机构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</w:rPr>
        <w:t>哨点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</w:rPr>
        <w:t>作用。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各基层医疗卫生机构要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当地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疾控和其他专业公共卫生机构指导下，积极会同乡镇（街道）、村（居）委会做好辖区新冠肺炎疫情风险管理、发热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highlight w:val="none"/>
          <w:lang w:eastAsia="zh-CN"/>
        </w:rPr>
        <w:t>和可疑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患者筛查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相关信息登记、报告以及处置工作。各基层医疗卫生机构要严格落实预检分诊制度，规范发热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和可疑症状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患者接诊处置流程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。要严格落实防控方案、诊疗方案及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《基层医疗卫生机构重大疫情防控预案和演练手册》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等要求，做好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编制预案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全员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应急演练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、院感防控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cs="仿宋_GB2312"/>
          <w:color w:val="auto"/>
          <w:spacing w:val="4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，有效提升基层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疫情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防控应对能力。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1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3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3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3"/>
          <w:sz w:val="32"/>
          <w:szCs w:val="32"/>
          <w:highlight w:val="none"/>
          <w:lang w:eastAsia="zh-CN"/>
        </w:rPr>
        <w:t>有序推进新冠病毒疫苗接种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3"/>
          <w:sz w:val="32"/>
          <w:szCs w:val="32"/>
          <w:highlight w:val="none"/>
        </w:rPr>
        <w:t>工作。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承担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接种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任务的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基层</w:t>
      </w:r>
      <w:r>
        <w:rPr>
          <w:rFonts w:hint="eastAsia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医疗卫生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机构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在上级专业机构的指导和本地疫情防控指挥办的统一部署下，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严格按照《预防接种工作规范》等要求，规范开展接种工作，严格执行知情告知、信息登记、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三查七对一验证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、接种后留观等程序，做好疑似异常反应监测和处置准备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采取分时段预约，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减少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人员聚集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。同时做好与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常规疫苗接种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工作的有序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</w:rPr>
        <w:t>衔接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及时将新冠疫苗接种信息在居民健康档案数据库中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FangSong_GB2312" w:cs="Times New Roman"/>
          <w:color w:val="auto"/>
          <w:spacing w:val="4"/>
          <w:sz w:val="32"/>
          <w:szCs w:val="32"/>
          <w:highlight w:val="none"/>
          <w:lang w:eastAsia="zh-CN"/>
        </w:rPr>
        <w:t>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（二）推进居民电子健康档案务实应用。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4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摸清服务底数。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各地卫生健康部门要将居民电子健康档案库数据与全员人口库、妇幼系统出生人口、疾控部门死亡人口、新冠病毒疫苗接种人口等数据定期比对，及时发现未建档、需注销的人口信息，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部署指导各基层机构补充完善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。各地要主动与公安、医保、民政等部门沟通</w:t>
      </w:r>
      <w:r>
        <w:rPr>
          <w:rFonts w:hint="eastAsia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，完善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常住人口信息。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4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提高数据准确性。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各地市要结合本地实际，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研究制定本地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健康档案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规则，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规范档案的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建立、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迁入、转出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、注销、结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归并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去重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</w:rPr>
        <w:t>流程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要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对现有电子健康档案进行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维护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，甄别逻辑错误、缺失信息和虚假信息，</w:t>
      </w:r>
      <w:r>
        <w:rPr>
          <w:rFonts w:hint="eastAsia" w:ascii="仿宋_GB2312" w:hAnsi="仿宋_GB2312" w:eastAsia="仿宋_GB2312" w:cs="仿宋_GB2312"/>
          <w:color w:val="auto"/>
          <w:spacing w:val="-9"/>
          <w:sz w:val="32"/>
          <w:szCs w:val="32"/>
          <w:highlight w:val="none"/>
          <w:lang w:val="en-US" w:eastAsia="zh-CN"/>
        </w:rPr>
        <w:t>不断提高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居民电子健康档案的真实性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完整性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和唯一性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重点人群本年已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二级以上医院完成体检、且体检项目不少于健康管理要求的，经当事人同意可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重复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，由基层机构依据当年体检报告完善年度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健康档案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，健康管理指标统计时予以认可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5" w:firstLineChars="200"/>
        <w:textAlignment w:val="auto"/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减少重复建档。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原则上在居民常住地新建居民健康档案，根据常住地基层</w:t>
      </w:r>
      <w:r>
        <w:rPr>
          <w:rFonts w:hint="eastAsia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医疗卫生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</w:rPr>
        <w:t>机构</w:t>
      </w:r>
      <w:r>
        <w:rPr>
          <w:rFonts w:hint="eastAsia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所在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</w:rPr>
        <w:t>行政区划进行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健康档案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</w:rPr>
        <w:t>编码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，与居民身份证绑定。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各地在新建居民健康档案前，要进行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系统支持范围内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居民健康档案库查重。已建档居民在建档机构之外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接受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基本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公卫服务</w:t>
      </w:r>
      <w:r>
        <w:rPr>
          <w:rFonts w:hint="default" w:ascii="Times New Roman" w:hAnsi="Times New Roman" w:eastAsia="宋体" w:cs="Times New Roman"/>
          <w:color w:val="auto"/>
          <w:spacing w:val="-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可由</w:t>
      </w:r>
      <w:r>
        <w:rPr>
          <w:rFonts w:hint="eastAsia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机构申请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健康档案迁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5" w:firstLineChars="200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全面采用电子档案。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2021年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9月1日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9"/>
          <w:sz w:val="32"/>
          <w:szCs w:val="32"/>
          <w:highlight w:val="none"/>
          <w:lang w:val="en-US" w:eastAsia="zh-CN"/>
        </w:rPr>
        <w:t>起，各地不再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新建纸质健康档案。全面实施电子居民健康档案，</w:t>
      </w:r>
      <w:r>
        <w:rPr>
          <w:rFonts w:hint="eastAsia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尚在使用的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存量纸质健康档案在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val="en-US" w:eastAsia="zh-CN"/>
        </w:rPr>
        <w:t>2021年底之前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及时录入信息系统，不能完成的地市应在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val="en-US" w:eastAsia="zh-CN"/>
        </w:rPr>
        <w:t>12月底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向省卫生健康委书面报告有关情况。新建居民健康档案需按照《广东省居民健康档案规范填写参考指南》（粤基本公卫服务办</w:t>
      </w:r>
      <w:r>
        <w:rPr>
          <w:rFonts w:hint="default" w:ascii="Times New Roman" w:hAnsi="Times New Roman" w:eastAsia="仿宋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pacing w:val="-3"/>
          <w:w w:val="100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-3"/>
          <w:w w:val="100"/>
          <w:sz w:val="32"/>
          <w:szCs w:val="32"/>
          <w:highlight w:val="none"/>
          <w:lang w:val="en-US" w:eastAsia="zh-CN"/>
        </w:rPr>
        <w:t>7号</w:t>
      </w:r>
      <w:r>
        <w:rPr>
          <w:rFonts w:hint="default" w:ascii="Times New Roman" w:hAnsi="Times New Roman" w:eastAsia="FangSong_GB2312" w:cs="Times New Roman"/>
          <w:color w:val="auto"/>
          <w:spacing w:val="-3"/>
          <w:w w:val="100"/>
          <w:sz w:val="32"/>
          <w:szCs w:val="32"/>
          <w:highlight w:val="none"/>
          <w:lang w:eastAsia="zh-CN"/>
        </w:rPr>
        <w:t>）填报。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各地要不断加强居民电子健康档案数据库管理，积极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推进各级医疗机构诊疗信息、专业机构公共卫生信息与居民电子健康档案的联通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共享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整合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35" w:firstLineChars="200"/>
        <w:jc w:val="left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开放健康档案。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使用省</w:t>
      </w:r>
      <w:r>
        <w:rPr>
          <w:rFonts w:hint="default" w:ascii="Times New Roman" w:hAnsi="Times New Roman" w:eastAsia="FangSong_GB2312" w:cs="Times New Roman"/>
          <w:color w:val="auto"/>
          <w:spacing w:val="-2"/>
          <w:szCs w:val="32"/>
          <w:highlight w:val="none"/>
        </w:rPr>
        <w:t>基层医疗卫生机构管理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信息系统的14个地市，要将纳入健康管理的高血压、2型糖尿病患者和65岁以上老年人等重点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人群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健康档案开放给个人使用。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12月底前，7个自建居民健康档案信息管理系统（平台）的地市</w:t>
      </w:r>
      <w:r>
        <w:rPr>
          <w:rFonts w:hint="eastAsia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实现与省全民健康平台对接，实现数据同步。逐步实现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居民通过“粤健通”</w:t>
      </w:r>
      <w:r>
        <w:rPr>
          <w:rFonts w:hint="eastAsia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等渠道在线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查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询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诊疗、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体检、健康管理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内容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，对于老年人、儿童等重点特殊人群，允许向其家属开放其健康档案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（三）以慢性病为重点深化基层医防融合。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5" w:firstLineChars="200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建立有利于慢性病管理的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绩效分配机制。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各县（市、区）要建立完善慢性病人群诊疗和健康管理流程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提高慢性病人基层就诊率。基层医疗卫生机构要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融合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家庭医生团队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工作地点，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明确各成员诊前、诊间、诊后工作职责，并按团队成员分工，共同做好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建档、体检、并发症筛查、随访、治疗、健康教育等具体服务，积极应用信息化手段，建立按照工作当量实行绩效分配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的激励工作机制。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5" w:firstLineChars="200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规范慢性病双向转诊。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pacing w:val="-2"/>
          <w:sz w:val="32"/>
          <w:szCs w:val="32"/>
          <w:highlight w:val="none"/>
          <w:lang w:eastAsia="zh-CN"/>
        </w:rPr>
        <w:t>地市卫生健康行政部门应在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级以上医疗机构与基层医疗卫生机构间建立对接机制，将病情稳定的慢性病患者及时下转到基层医疗</w:t>
      </w:r>
      <w:r>
        <w:rPr>
          <w:rFonts w:hint="eastAsia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机构管理。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上级医院要加强对基层医师的培训，不断提高基层慢性病患者管理水平，为基层接收下转病人创造条件。基层医疗卫生机构要主动与医联体或专科联盟内的上级医院对接，确保下转病人得到及时、规范的健康管理，并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</w:rPr>
        <w:t>根据病情需要及时将病情复杂或控制不佳的患者上转至上级医院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分级分标分片管理。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各地要结合实际贯彻《国家基层高血压防治管理指南（20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》《国家基层糖尿病防治管理指南（2018）》《广东省紧密型县域医疗卫生共同体慢病管理中心运行指南（试行）》（粤卫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基层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函〔20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号）要求，落实分级、分标、分片管理。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建立健全县、镇、村三级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健康服务网格体系，提高基层开展医防融合管理的能力，完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善“防、治、管、康”一体化服务模式。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用药随访双管齐下</w:t>
      </w:r>
      <w:r>
        <w:rPr>
          <w:rFonts w:hint="default" w:ascii="Times New Roman" w:hAnsi="Times New Roman" w:eastAsia="FangSong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FangSong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严格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落实《关于完善城乡居民高血压糖尿病门诊用药保障机制的指导意见〉的通知》（粤医保发﹝2019﹞26号）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zh-CN" w:eastAsia="zh-CN"/>
        </w:rPr>
        <w:t>和《关于印发深化城乡居民高血压、糖尿病门诊用药保障和健康管理专项行动方案的通知》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（粤医保函﹝20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﹞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eastAsia="zh-CN"/>
        </w:rPr>
        <w:t>号）要求。到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2021年底，要实现基层医疗机构规范化管理的“两病”用药患者全面享受门特待遇，80%以上的乡镇卫生院、社区卫生服务中心均向符合条件的慢性病患者提供长期处方服务。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（四）进一步加强老年人健康管理。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5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优化老年健康服务。</w:t>
      </w:r>
      <w:r>
        <w:rPr>
          <w:rFonts w:hint="default" w:ascii="Times New Roman" w:hAnsi="Times New Roman" w:eastAsia="FangSong_GB2312" w:cs="Times New Roman"/>
          <w:color w:val="auto"/>
          <w:spacing w:val="-2"/>
          <w:sz w:val="32"/>
          <w:szCs w:val="32"/>
          <w:highlight w:val="none"/>
          <w:lang w:val="en-US" w:eastAsia="zh-CN"/>
        </w:rPr>
        <w:t>各基层医疗卫生机构应当及时掌握辖区老年人口信息变化，规范体检内容，及时为体检对象提供体检报告和健康指导。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优先满足老年人特别是计划生育特殊家庭（独生子女或子女死亡后未再生育的家庭）的家庭医生签约服务需求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努力做到慢病有管理、疾病早发现、小病能处理、大病易转诊，为老年人提供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连续的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医疗和健康服务。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通过增设老年患者无“健康码”专属通道，医疗机构内部适老化改造，配备工作人员、志愿者，开设挂号、就医绿色通道等方式，为老年人提供更便捷的就医服务。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35" w:firstLineChars="200"/>
        <w:textAlignment w:val="auto"/>
        <w:rPr>
          <w:rFonts w:hint="default" w:ascii="Times New Roman" w:hAnsi="Times New Roman" w:eastAsia="FangSong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积极推动医养结合。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针对老年人迫切需要的上门医疗服务，提供上门巡诊、家庭病床、护理等服务，特别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要注重解决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失能、重病、高龄老年人的刚性需求。鼓励有条件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基层医疗卫生机构，开展养老服务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增设养老床位，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或与养老机构建立医养结合协作关系，为入住老年人提供预约就诊、急诊急救以及医疗巡诊、健康咨询、健康管理、养生保健、康复指导等服务，切实做好老年人常见病、慢性病复诊和随访管理等服务。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（五）加强基本公共卫生服务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宣传。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深入贯彻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基本医疗卫生与健康促进法》，创新基本公共卫生服务宣传方式方法，采取城乡社区居民喜闻乐见的形式，通过医疗卫生机构宣传屏、公共交通设施电子屏、户外大型显示屏、社区宣传栏以及微信、微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、电视、广播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等载体，推进基本公共卫生服务项目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（含新冠肺炎疫情防控）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宣传全面覆盖城乡社区和居民家庭，不断提升居民对基本公共卫生服务项目的知晓率、感受度。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各地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val="en-US" w:eastAsia="zh-CN"/>
        </w:rPr>
        <w:t>要以“我为群众办实事”实践活动为契机，加强对高血压、2型糖尿病患者的免费健康管理服务，通过工作“小切口”推动服务“大变化”。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基层医疗</w:t>
      </w:r>
      <w:r>
        <w:rPr>
          <w:rFonts w:hint="eastAsia" w:ascii="仿宋_GB2312" w:hAnsi="仿宋_GB2312" w:cs="仿宋_GB2312"/>
          <w:color w:val="auto"/>
          <w:spacing w:val="-2"/>
          <w:sz w:val="32"/>
          <w:szCs w:val="32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机构要开展有针对性</w:t>
      </w:r>
      <w:r>
        <w:rPr>
          <w:rFonts w:hint="eastAsia" w:ascii="仿宋_GB2312" w:hAnsi="仿宋_GB2312" w:cs="仿宋_GB2312"/>
          <w:color w:val="auto"/>
          <w:spacing w:val="-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健康教育，指导患者养成健康生活方式，掌握高血压和糖尿病的筛查、诊断流程、血压和血糖的监测方法、规范用药</w:t>
      </w:r>
      <w:r>
        <w:rPr>
          <w:rFonts w:hint="eastAsia" w:ascii="仿宋_GB2312" w:hAnsi="仿宋_GB2312" w:cs="仿宋_GB2312"/>
          <w:color w:val="auto"/>
          <w:spacing w:val="-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等，提高患者的遵医行为，有效控制血压和血糖，预防和减少并发症的发生。引导高血压和糖尿病患者自我管理，组织患者建立自我管理小组，主动学习健康知识和防治技能，交流疾病管理经验，改变危险行为，提高自我管理效能，逐步形成“自己是健康第一责任人”的健康理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（六）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强化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基层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医务人员岗位胜任力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逐级加强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常见多发疾病诊治技术、家庭医生团队和基本公共卫生服务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能力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培训。强化健康管理、疾病防控、慢性病管理等公共卫生服务能力；强化专科与全科联合、基本与特色结合的家庭医生团队服务能力，培养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全科、专科、乡村医生、护理、公共卫生、影像、检验等专业技术人员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以多种形式加入家庭医生团队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通过线上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继续医学教育平台，有效解决工学矛盾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省卫生健康委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加强各子项目服务规范的培训师资遴选和课件制作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。各市卫生健康行政部门要制定涵盖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基层医疗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卫生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机构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管理、基本医疗、公共卫生和家庭医生服务的总体培训方案，调配市域临床教学资源，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加大对县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的指导力度。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以提高人员岗位胜任力为抓手，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提高基本公共卫生服务内涵，提高健康管理效力。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保障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加强资金管理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落实补助资金。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2021年度中央和省财政补助基本公共卫生服务资金已分别下达，具体见粤财社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307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粤财社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320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粤财社〔202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粤财社〔202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〕103号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年人均基本公共卫生服务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补助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经费提高到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元，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《新划入基本公共卫生服务项目工作规范（2019年版）》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对应项目总体按照9元/人，较去年新增的5元用于疫情防控和基本公共卫生服务。鉴于2020年疫情，2021年度基本公共卫生服务项目省级绩效因素资金分配方案根据2019年度省级基本公共卫生服务项目绩效评价结果制定，被扣减补助资金的县（市、区），由市、县财政补齐配套资金，确保达到79元/人的补助标准，落实情况纳入2021年度项目绩效评价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严格支出管理。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各地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要及时拨付资金、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有序推进预算执行进度，定期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核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查、清理结余结转资金，避免资金闲置、截留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、挪用。各县（市、区）要进一步明确镇、村两级项目任务分工，制定村医承担项目服务工作的补助标准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可实行“先预拨后结算”，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确保绩效评价后补助经费按标准及时、足额发放，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提高项目资金使用效益。各地要按照《关于印发广东省基本公共卫生服务补助资金管理实施细则的通知》（粤财社〔2020〕202号）要求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结合实际制定本地项目资金管理办法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细化专项资金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使用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范围和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补助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标准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绩效评价、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监督检查及责任追究机制等制度建设。请各地将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市项目资金管理办法于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月底前发送至省基本公共卫生服务项目管理办公室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（以下简称“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省项目办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邮箱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乡镇卫生院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、社区卫生服务中心要制定本机构基本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公卫补助资金管理实施细则，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明确人员经费分配机制、公用经费分摊比例、服务成本核算标准等，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体现绩效管理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（二）强化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绩效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各级主管部门要进一步提高预算绩效管理意识，加强绩效目标管理，将绩效理念和方法深度融入预算编制、执行、监督全过程。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各地要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加强过程监管，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创新项目监管、绩效评价的方式方法，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鼓励有条件的地区建立在线质控、考核系统，充分利用信息化手段对项目进度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效果开展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日常监测和评价。各基层医疗卫生机构应结合项目实际，建立、完善内部奖励性绩效工资分配机制，将奖励性绩效分配与工作量核定、绩效考核结果挂钩，鼓励合理量化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项目内容，按照标化工作量计算绩效，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充分发挥绩效评价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激励作用。2021年度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绩效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目标完成度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作为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各级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年补助资金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绩效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分配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因素之一。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各地要将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基层医疗卫生机构项目完成数量和质量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项目资金分配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挂钩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，提高奖惩力度，适当拉大差距，提高基层医务人员工作积极性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扩大服务供给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基层医疗卫生机构要积极引入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多功能体检一体机、便携式出诊包、血压和血糖检测设备、便携式B超仪、心电图机、家庭医生快速签约机、身份证读卡器、儿童视力筛查仪、经皮测黄疸仪等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基础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设施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并激励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全科医生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主动参与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基本公共卫生服务。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各地可通过远程医疗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县域医共体、城市医疗集团建设，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提升基层</w:t>
      </w:r>
      <w:r>
        <w:rPr>
          <w:rFonts w:hint="eastAsia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医疗卫生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机构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服务能力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经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当地县级卫生健康行政部门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评估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基层医疗卫生机构确不具备承担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特定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基本公卫服务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能力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，可以由当地县级卫生健康行政部门指定其他公立医疗卫生机构承担，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通过购买服务方式确定承接单位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，可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按照当地财政补助标准予以补助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并做好备案登记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（四）明确职责分工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12类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由基层医疗卫生机构提供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基本公共卫生服务项目，各地要按照《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国家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基本公共卫生服务规范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（第三版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）》，继续做好建立居民健康档案、健康教育、预防接种、0-6岁儿童健康管理、孕产妇健康管理、老年人健康管理、高血压和2型糖尿病患者健康管理、严重精神障碍患者管理、肺结核患者健康管理、中医药健康管理、传染病和突发公共卫生事件报告和处理、卫生监督协管等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统筹指导基层医疗卫生机构规范开展0-6岁儿童眼保健和视力检查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预防接种管理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等工作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各地级以上市卫生健康、财政部门于2022年1月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20日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前将2021年度本地区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12类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国家基本公共卫生服务项目绩效评价报告报省卫生健康委、省财政厅，抄送省项目办。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其它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17类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基本公共卫生服务项目由各地参照《新划入基本公共卫生服务项目工作规范（20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年版）》结合实际实施，做好地方病防治、职业病防治、重大疾病及健康危害因素监测，以及妇幼健康服务、老年健康与医养结合服务、食品安全标准与监测评估、卫生应急、人口监测与计划生育服务、健康素养促进等工作。项目的管理责任主体、实施主体、资金用途和服务模式等保持不变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具体任务要求由各主管部门另行部署。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省卫生健康委各责任处室负责组织开展2021年度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17类相关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绩效评价工作，并于2022年1月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20日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前将绩效评价报告报送省项目办。</w:t>
      </w:r>
    </w:p>
    <w:p>
      <w:pPr>
        <w:pStyle w:val="3"/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</w:rPr>
        <w:t>省项目办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FangSong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2022年1月30日前将绩效评价报告报省卫生健康委、省财政厅。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FangSong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联系人：</w:t>
      </w:r>
      <w:r>
        <w:rPr>
          <w:rFonts w:hint="default" w:ascii="Times New Roman" w:hAnsi="Times New Roman" w:eastAsia="FangSong_GB2312" w:cs="Times New Roman"/>
          <w:color w:val="auto"/>
          <w:spacing w:val="-6"/>
          <w:sz w:val="32"/>
          <w:szCs w:val="32"/>
          <w:highlight w:val="none"/>
        </w:rPr>
        <w:t>省卫生健康委：聂辉，联系电话：020-83828152；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省财政厅：戚伟强，联系电话：020-83170365；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省中医药局：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龙康君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，联系电话：020-838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48467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FangSong_GB2312" w:cs="Times New Roman"/>
          <w:color w:val="auto"/>
          <w:spacing w:val="-6"/>
          <w:sz w:val="32"/>
          <w:szCs w:val="32"/>
          <w:highlight w:val="none"/>
        </w:rPr>
        <w:t>省项目办：唐玲玲，联系电话：020-31051006；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    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政务邮箱：sjkzx_jcdbs@gd.gov.cn。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 xml:space="preserve">    附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2021年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广东省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基本公共卫生服务项目绩效目标表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600" w:firstLineChars="5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2021年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广东省各地市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高血压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糖尿病管理任务数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600" w:firstLineChars="50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t>广东省基本公共卫生服务项目职责分工表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附表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2021年广东省基本公共卫生服务项目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绩效目标表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68"/>
        <w:gridCol w:w="1705"/>
        <w:gridCol w:w="3152"/>
        <w:gridCol w:w="1060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一、原国家12类基本公共卫生服务项目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居民健康档案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居民规范化电子健康档案覆盖率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健康教育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健康教育服务开展率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≥100%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预防接种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适龄儿童国家免疫规划疫苗接种率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慢病管理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高血压患者健康管理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高血压患者管理人数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480.55万人（含深圳）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高血压患者基层规范管理服务率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2型糖尿病患者健康管理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2型糖尿病患者管理人数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191.50万人（含深圳）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2型糖尿病患者基层规范管理服务率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社区在册居家严重精神障碍患者健康管理率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≥80%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结核病患者健康管理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肺结核患者管理率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传染病和突发公共卫生事件报告和处理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传染病报告和处理服务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传染病疫情报告率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突发公共卫生事件报告和处理服务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突发公共卫生事件相关信息报告率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≥85%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3岁以下儿童系统管理率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≥80%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0-6岁儿童眼保健操和视力检查覆盖率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孕产妇健康管理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65岁及以上老年人城乡社区规范健康管理服务率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中医药健康管理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卫生计生监督协管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卫生监督协管各专业每年巡查（访）2次完成率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二、从国家重大公卫和计生服务划入项目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2018年划入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健康素养促进行动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居民健康素养水平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基本避孕服务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在发放箱无记录发放减少三分之二的基础上，区域基本避孕药具发放覆盖率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≥20%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2019年划入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地方病防治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地方病监测完成率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地方病核心指标监测率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职业健康核心指标监测县区覆盖率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重大疾病与健康危害因素监测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麻风病按规定随访到位率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麻风病可疑线索报告率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疟疾媒介调查点工作完成率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黑热病等其他寄生虫病监测任务完成率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中国青少年烟草流行调查应答率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监测点（县/区）门急诊伤害监测漏报率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＜10%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食品安全风险监测任务数据及时上报率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人禽流感、SARS防控项目管理工作规范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及时发现报告或有效处置人禽流感、SARS 等突发急性传染病疫情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鼠疫防治项目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及时有效规范处置人间鼠疫疫情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国家卫生应急队伍运维保障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国家卫生应急队伍运维完成率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农村妇女两癌免费检查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另行下达年度工作计划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粤卫函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〔2020〕16号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增补叶酸预防神经管缺陷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目标人群叶酸服用率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国家免费孕前优生健康检查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孕前优生健康检查率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≥80%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地中海贫血防控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夫妇产前地贫初筛（血常规）率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食品安全标准跟踪评价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牵头及参与的省级协作组食品安全国家标准跟踪评价完成率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  <w:t>≥90%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  <w:lang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国家随机监督抽查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另行下达年度工作计划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医养结合与失能老年人评估指导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医养结合服务指导率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≥30%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</w:rPr>
              <w:t>65岁及以上失能老年人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健康指导率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≥30%</w:t>
            </w: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人口监测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出生人口数据录入率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医学死亡人口注销率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卫生健康项目监督管理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开展项目绩效评价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每年至少1次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省定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质量和效益指标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乡镇开展疾控业务专业指导评价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乡镇覆盖100%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基本公共卫生服务水平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不断提高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国定绩效目标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备注</w:t>
      </w:r>
      <w:r>
        <w:rPr>
          <w:rFonts w:hint="eastAsia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国定绩效目标：按照中央资金下达文件（粤财社〔2021〕32号）对广东省的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区域绩效目标。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省定：</w:t>
      </w:r>
      <w:r>
        <w:rPr>
          <w:rFonts w:hint="default" w:ascii="Times New Roman" w:hAnsi="Times New Roman" w:eastAsia="FangSong_GB2312" w:cs="Times New Roman"/>
          <w:color w:val="auto"/>
          <w:sz w:val="24"/>
          <w:szCs w:val="24"/>
          <w:highlight w:val="none"/>
          <w:lang w:val="en-US" w:eastAsia="zh-CN"/>
        </w:rPr>
        <w:t>其他项目的绩效目标由各主管处根据国家要求和我省实际情况确定。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附表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2021年广东省各地市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高血压、糖尿病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管理任务数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2928"/>
        <w:gridCol w:w="1982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常住人口（万人）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高血压管理任务数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（万人）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糖尿病管理任务数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1530.59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63.84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1343.88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56.06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202.37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8.44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566.48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23.63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815.86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34.03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303.04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12.64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310.56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12.95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438.30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18.28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488.00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20.36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301.50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12.58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846.45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35.31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338.00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463.03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19.31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257.09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10.72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736.00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641.15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26.74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418.71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17.47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388.58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16.21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265.98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11.09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610.50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25.47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254.52 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10.62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11520.59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480.55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表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广东省基本公共卫生服务项目职责分工表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"/>
        <w:gridCol w:w="719"/>
        <w:gridCol w:w="1112"/>
        <w:gridCol w:w="1305"/>
        <w:gridCol w:w="799"/>
        <w:gridCol w:w="1208"/>
        <w:gridCol w:w="1198"/>
        <w:gridCol w:w="762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省卫生健康委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责任处室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技术指导单位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原国家12类基本公共卫生服务项目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居民健康档案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基层处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聂辉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020-83828152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省项目办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宣传处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薛健生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秦祖国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020-87042872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预防接种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吴晓程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020-83820678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慢病管理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高血压患者健康管理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刘瑞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020-83820690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省心血管病中心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冯颖青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83827812转10682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2型糖尿病患者健康管理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省精神卫生中心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谭文艳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020-81908873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结核病患者健康管理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张郝鹏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020-34152604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省结防中心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020-38907211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传染病和突发公共卫生事件报告和处理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传染病报告和处理服务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代吉亚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突发公共卫生事件报告和处理服务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  <w:t>83770103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郭汝宁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儿童健康管理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妇幼处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省妇幼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吴婕翎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020-39151521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孕产妇健康管理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刘薇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020-83828331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夏建红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老龄处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高迎春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020-83365447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刘惠霞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020-83827812转71031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中医药健康管理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中医药局医政处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龙康君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020-83848467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省中医院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宾炜、张国雄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020-81887233转35701、020-39318603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卫生计生监督协管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监督处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姚宇盈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省卫生监督所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020-34063177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8874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二、原国家重大公卫服务项目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2018年划入基本公卫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健康素养促进行动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宣传处</w:t>
            </w:r>
          </w:p>
        </w:tc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薛健生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王锡波</w:t>
            </w: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020-87029121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基本避孕服务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妇幼处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省药具中心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020-87030326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2019年划入基本公卫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地方病防治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林志祥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020-83820678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职业健康处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李明峰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020-83849412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省职防院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温贤忠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020-34063136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重大疾病与健康危害因素监测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重点急性传染病监测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吴晓程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020-83820678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麻风病监测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张郝鹏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020-34152604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省皮防中心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王晓华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020-87255286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疟疾及寄生虫病防治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林志祥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020-83820678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邓卓晖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鼠疫防治监测（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彭志强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人禽流感及SARS防控监测（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烟草流行监测（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规划处）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王慧雅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020-83828616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省卫生健康宣传教育中心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池月云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020-89030224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伤害监测（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刘瑞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020-83820690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饮用水、环境卫生、学生常见病监测（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张郝鹏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020-34152604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陈秋霞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食品安全风险监测(食品处)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张璐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020-83813806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闻剑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020-31051136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妇幼卫生监测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省妇幼保健院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徐昊立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医疗服务成本价格监测（财务处）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姚利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020-83812141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南方医科大学南方医院/卫生与健康管理研究院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姚奕婷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020-62786930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居民健康素养监测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薛健生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王锡波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020-87029121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人禽流感、SARS防控项目管理工作规范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020-83770103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鼠疫防治项目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020-83770103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彭志强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国家卫生应急队伍运维保障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020-83770103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钟豪杰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020-31051473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农村妇女两癌免费检查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妇幼处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省妇幼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武丽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增补叶酸预防神经管缺陷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缪华章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国家免费孕前优生健康检查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王雄虎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地中海贫血防控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王雄虎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食品安全标准跟踪评价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食品处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张璐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020-83813806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谭彦君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020-31051176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国家随机监督抽查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监督处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姚宇盈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020-83770131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省卫生监督所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陈世望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020-34451059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医养结合与失能老年人评估指导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老龄处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唐志锋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83199518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省老年医学研究所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刘惠霞、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郭伟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020-83827812转71031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高迎春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020-83365447</w:t>
            </w:r>
          </w:p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人口监测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人口家庭处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赵祖宏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020-83828385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人口家庭处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李绪伟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020-83828626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卫生健康项目监督管理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许渡 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020-83853565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FangSong_GB2312">
    <w:altName w:val="仿宋_GB2312"/>
    <w:panose1 w:val="02010609030001010101"/>
    <w:charset w:val="7A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0DD8"/>
    <w:rsid w:val="45CA5A85"/>
    <w:rsid w:val="4DC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Body Text First Indent 2"/>
    <w:basedOn w:val="2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2021-08-09T09:38:00Z</dcterms:created>
  <dc:creator>eva</dc:creator>
  <cp:lastModifiedBy>eva</cp:lastModifiedBy>
  <dcterms:modified xsi:type="dcterms:W3CDTF">2021-08-09T09:39:52Z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580BF4464D7D470E878B91B1A156743D</vt:lpwstr>
  </property>
</Properties>
</file>