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7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  <w:t>广东省职业病诊断医师资格申请表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1"/>
        <w:gridCol w:w="1456"/>
        <w:gridCol w:w="179"/>
        <w:gridCol w:w="758"/>
        <w:gridCol w:w="731"/>
        <w:gridCol w:w="1172"/>
        <w:gridCol w:w="162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   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年月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贴照片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专业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学历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  编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从事专业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工作年限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年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取得中级以上职称年限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省级卫生行政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部门意见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提交的材料：1.医师执业证书复印件；2.中级以上卫生专业资格证书复印件；3.从事职业病诊断、鉴定相关工作三年以上的证明；4.参加职业病诊断医师相应类别考核并考核合格的相关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证明。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34F0"/>
    <w:rsid w:val="2FCF34F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2021-07-19T02:08:00Z</dcterms:created>
  <dc:creator>eva</dc:creator>
  <cp:lastModifiedBy>eva</cp:lastModifiedBy>
  <dcterms:modified xsi:type="dcterms:W3CDTF">2021-07-19T02:08:47Z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DC0B1EC952F249C8AC39EA4B81077741</vt:lpwstr>
  </property>
</Properties>
</file>