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广东省卫生健康委</w:t>
      </w:r>
      <w:r>
        <w:rPr>
          <w:rFonts w:hint="default" w:ascii="Times New Roman" w:hAnsi="Times New Roman" w:eastAsia="方正小标宋简体" w:cs="Times New Roman"/>
          <w:sz w:val="44"/>
          <w:szCs w:val="44"/>
          <w:lang w:val="en-US" w:eastAsia="zh-CN"/>
        </w:rPr>
        <w:t>2020年度行政审批和</w:t>
      </w:r>
    </w:p>
    <w:p>
      <w:pPr>
        <w:keepNext w:val="0"/>
        <w:keepLines w:val="0"/>
        <w:pageBreakBefore w:val="0"/>
        <w:widowControl w:val="0"/>
        <w:kinsoku/>
        <w:wordWrap/>
        <w:overflowPunct/>
        <w:topLinePunct w:val="0"/>
        <w:autoSpaceDE/>
        <w:autoSpaceDN/>
        <w:bidi w:val="0"/>
        <w:adjustRightInd/>
        <w:snapToGrid w:val="0"/>
        <w:spacing w:beforeAutospacing="0" w:afterAutospacing="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政务服务效能情况自评报告</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rPr>
          <w:rFonts w:hint="default" w:ascii="Times New Roman" w:hAnsi="Times New Roman"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rPr>
          <w:rFonts w:hint="default" w:ascii="Times New Roman" w:hAnsi="Times New Roman" w:cs="Times New Roman"/>
        </w:rPr>
      </w:pP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w:t>
      </w:r>
      <w:r>
        <w:rPr>
          <w:rFonts w:hint="default" w:ascii="Times New Roman" w:hAnsi="Times New Roman" w:cs="Times New Roman"/>
          <w:sz w:val="32"/>
          <w:szCs w:val="32"/>
          <w:lang w:val="en-US" w:eastAsia="zh-CN"/>
        </w:rPr>
        <w:t>20</w:t>
      </w:r>
      <w:r>
        <w:rPr>
          <w:rFonts w:hint="default" w:ascii="Times New Roman" w:hAnsi="Times New Roman" w:eastAsia="仿宋_GB2312" w:cs="Times New Roman"/>
          <w:sz w:val="32"/>
          <w:szCs w:val="32"/>
          <w:lang w:val="en-US" w:eastAsia="zh-CN"/>
        </w:rPr>
        <w:t>年，按照国家和省的统一部署，我委扎实推进放管服改革，严格执行《广东省行政许可监督管理条例》，依法办理行政审批，开展事中事后监管，提升政务服务效能。根据《广东省政务服务数据管理局关于开展2020年度行政审批和政务服务效能评价工作的通知》（粤政数函〔20</w:t>
      </w:r>
      <w:r>
        <w:rPr>
          <w:rFonts w:hint="default" w:ascii="Times New Roman" w:hAnsi="Times New Roman" w:cs="Times New Roman"/>
          <w:sz w:val="32"/>
          <w:szCs w:val="32"/>
          <w:lang w:val="en-US" w:eastAsia="zh-CN"/>
        </w:rPr>
        <w:t>21</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276</w:t>
      </w:r>
      <w:r>
        <w:rPr>
          <w:rFonts w:hint="default" w:ascii="Times New Roman" w:hAnsi="Times New Roman" w:eastAsia="仿宋_GB2312" w:cs="Times New Roman"/>
          <w:sz w:val="32"/>
          <w:szCs w:val="32"/>
          <w:lang w:val="en-US" w:eastAsia="zh-CN"/>
        </w:rPr>
        <w:t>号）要求，现将我委20</w:t>
      </w:r>
      <w:r>
        <w:rPr>
          <w:rFonts w:hint="default" w:ascii="Times New Roman" w:hAnsi="Times New Roman" w:cs="Times New Roman"/>
          <w:sz w:val="32"/>
          <w:szCs w:val="32"/>
          <w:lang w:val="en-US" w:eastAsia="zh-CN"/>
        </w:rPr>
        <w:t>20</w:t>
      </w:r>
      <w:r>
        <w:rPr>
          <w:rFonts w:hint="default" w:ascii="Times New Roman" w:hAnsi="Times New Roman" w:eastAsia="仿宋_GB2312" w:cs="Times New Roman"/>
          <w:sz w:val="32"/>
          <w:szCs w:val="32"/>
          <w:lang w:val="en-US" w:eastAsia="zh-CN"/>
        </w:rPr>
        <w:t>年度行政审批和政务服务效能情况报告如下：</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一、行政审批效能情况</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w:t>
      </w:r>
      <w:r>
        <w:rPr>
          <w:rFonts w:hint="default" w:ascii="Times New Roman" w:hAnsi="Times New Roman" w:eastAsia="楷体_GB2312" w:cs="Times New Roman"/>
          <w:b w:val="0"/>
          <w:bCs w:val="0"/>
          <w:sz w:val="32"/>
          <w:szCs w:val="32"/>
          <w:lang w:eastAsia="zh-CN"/>
        </w:rPr>
        <w:t>转变政府职能深化行政审批制度改革落实</w:t>
      </w:r>
      <w:r>
        <w:rPr>
          <w:rFonts w:hint="default" w:ascii="Times New Roman" w:hAnsi="Times New Roman" w:eastAsia="楷体_GB2312" w:cs="Times New Roman"/>
          <w:b w:val="0"/>
          <w:bCs w:val="0"/>
          <w:sz w:val="32"/>
          <w:szCs w:val="32"/>
        </w:rPr>
        <w:t>情况。</w:t>
      </w:r>
    </w:p>
    <w:p>
      <w:pPr>
        <w:pStyle w:val="3"/>
        <w:keepNext w:val="0"/>
        <w:keepLines w:val="0"/>
        <w:pageBreakBefore w:val="0"/>
        <w:kinsoku/>
        <w:wordWrap/>
        <w:overflowPunct/>
        <w:topLinePunct w:val="0"/>
        <w:autoSpaceDN/>
        <w:bidi w:val="0"/>
        <w:adjustRightInd/>
        <w:snapToGrid/>
        <w:spacing w:beforeAutospacing="0" w:afterAutospacing="0" w:line="560" w:lineRule="exact"/>
        <w:ind w:left="0" w:leftChars="0" w:right="0"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eastAsia="zh-CN"/>
        </w:rPr>
        <w:t>1</w:t>
      </w:r>
      <w:r>
        <w:rPr>
          <w:rFonts w:hint="eastAsia" w:ascii="仿宋_GB2312" w:hAnsi="仿宋_GB2312" w:eastAsia="仿宋_GB2312" w:cs="仿宋_GB2312"/>
          <w:b/>
          <w:bCs/>
          <w:sz w:val="32"/>
          <w:szCs w:val="32"/>
          <w:lang w:eastAsia="zh-CN"/>
        </w:rPr>
        <w:t>.</w:t>
      </w:r>
      <w:r>
        <w:rPr>
          <w:rFonts w:hint="default" w:ascii="Times New Roman" w:hAnsi="Times New Roman" w:eastAsia="仿宋_GB2312" w:cs="Times New Roman"/>
          <w:b/>
          <w:bCs/>
          <w:sz w:val="32"/>
          <w:szCs w:val="32"/>
          <w:lang w:eastAsia="zh-CN"/>
        </w:rPr>
        <w:t>政府职能转变和职权调整落实情况</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lang w:val="en-US" w:eastAsia="zh-CN"/>
        </w:rPr>
        <w:t>根</w:t>
      </w:r>
      <w:r>
        <w:rPr>
          <w:rFonts w:hint="default" w:ascii="Times New Roman" w:hAnsi="Times New Roman" w:eastAsia="仿宋_GB2312" w:cs="Times New Roman"/>
          <w:b w:val="0"/>
          <w:bCs w:val="0"/>
          <w:sz w:val="32"/>
          <w:szCs w:val="32"/>
        </w:rPr>
        <w:t>据《广东省人民政府关于调整实施一批省级权责清单事项的决定》（粤府令第270号）和《广东省人民政府关于取消和调整实施一批省级权责清单事项的决定》（粤府〔2020〕1号）的</w:t>
      </w:r>
      <w:r>
        <w:rPr>
          <w:rFonts w:hint="default" w:ascii="Times New Roman" w:hAnsi="Times New Roman" w:eastAsia="仿宋_GB2312" w:cs="Times New Roman"/>
          <w:b w:val="0"/>
          <w:bCs w:val="0"/>
          <w:sz w:val="32"/>
          <w:szCs w:val="32"/>
          <w:lang w:eastAsia="zh-CN"/>
        </w:rPr>
        <w:t>要求，</w:t>
      </w:r>
      <w:r>
        <w:rPr>
          <w:rFonts w:hint="default" w:ascii="Times New Roman" w:hAnsi="Times New Roman" w:eastAsia="仿宋_GB2312" w:cs="Times New Roman"/>
          <w:b w:val="0"/>
          <w:bCs w:val="0"/>
          <w:sz w:val="32"/>
          <w:szCs w:val="32"/>
          <w:lang w:val="en-US" w:eastAsia="zh-CN"/>
        </w:rPr>
        <w:t>我委压减63项行政权力事项，其中委托地级以上市实施9项、重心下移27项、整合1项、取消1项、移出权力清单25项。通过指定专人负</w:t>
      </w:r>
      <w:r>
        <w:rPr>
          <w:rFonts w:hint="default" w:ascii="Times New Roman" w:hAnsi="Times New Roman" w:eastAsia="仿宋_GB2312" w:cs="Times New Roman"/>
          <w:sz w:val="32"/>
          <w:szCs w:val="32"/>
          <w:lang w:val="en-US" w:eastAsia="zh-CN"/>
        </w:rPr>
        <w:t>责具体交接工作</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b w:val="0"/>
          <w:bCs w:val="0"/>
          <w:sz w:val="32"/>
          <w:szCs w:val="32"/>
          <w:lang w:val="en-US" w:eastAsia="zh-CN"/>
        </w:rPr>
        <w:t>签订委托协议、</w:t>
      </w:r>
      <w:r>
        <w:rPr>
          <w:rFonts w:hint="default" w:ascii="Times New Roman" w:hAnsi="Times New Roman" w:eastAsia="仿宋_GB2312" w:cs="Times New Roman"/>
          <w:b w:val="0"/>
          <w:bCs w:val="0"/>
          <w:sz w:val="32"/>
          <w:szCs w:val="32"/>
          <w:lang w:eastAsia="zh-CN"/>
        </w:rPr>
        <w:t>向社会公</w:t>
      </w:r>
      <w:r>
        <w:rPr>
          <w:rFonts w:hint="default" w:ascii="Times New Roman" w:hAnsi="Times New Roman" w:eastAsia="仿宋_GB2312" w:cs="Times New Roman"/>
          <w:kern w:val="0"/>
          <w:sz w:val="32"/>
          <w:szCs w:val="32"/>
        </w:rPr>
        <w:t>布调整实施事项的承接部门、交接日期、具体</w:t>
      </w:r>
      <w:r>
        <w:rPr>
          <w:rFonts w:hint="default" w:ascii="Times New Roman" w:hAnsi="Times New Roman" w:eastAsia="仿宋_GB2312" w:cs="Times New Roman"/>
          <w:b w:val="0"/>
          <w:bCs w:val="0"/>
          <w:sz w:val="32"/>
          <w:szCs w:val="32"/>
          <w:lang w:val="en-US" w:eastAsia="zh-CN"/>
        </w:rPr>
        <w:t>内容及责任、开展业务指导与交流等形式加强对各市承接部门的业务支持，增强基层承接能力。定期通过政务微信群和电话沟通、实地指导等方式，对地市政务服务事项办理情况进行监督指导。</w:t>
      </w:r>
      <w:r>
        <w:rPr>
          <w:rFonts w:hint="default" w:ascii="Times New Roman" w:hAnsi="Times New Roman" w:eastAsia="仿宋_GB2312" w:cs="Times New Roman"/>
          <w:b w:val="0"/>
          <w:bCs w:val="0"/>
          <w:sz w:val="32"/>
          <w:szCs w:val="32"/>
          <w:lang w:eastAsia="zh-CN"/>
        </w:rPr>
        <w:t>按照“三定”规定及有关文件调整和完善权责清单要求，及时修订办事指南，并在广东政务服务网或委公众网进行公开。</w:t>
      </w:r>
      <w:r>
        <w:rPr>
          <w:rFonts w:hint="default" w:ascii="Times New Roman" w:hAnsi="Times New Roman" w:eastAsia="仿宋_GB2312" w:cs="Times New Roman"/>
          <w:b w:val="0"/>
          <w:bCs w:val="0"/>
          <w:sz w:val="32"/>
          <w:szCs w:val="32"/>
          <w:lang w:val="en-US" w:eastAsia="zh-CN"/>
        </w:rPr>
        <w:t>2020年我委</w:t>
      </w:r>
      <w:r>
        <w:rPr>
          <w:rFonts w:hint="default" w:ascii="Times New Roman" w:hAnsi="Times New Roman" w:eastAsia="仿宋_GB2312" w:cs="Times New Roman"/>
          <w:b w:val="0"/>
          <w:bCs w:val="0"/>
          <w:sz w:val="32"/>
          <w:szCs w:val="32"/>
          <w:lang w:eastAsia="zh-CN"/>
        </w:rPr>
        <w:t>建立健全牵头部门与配合部门间协调工作机制，</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b w:val="0"/>
          <w:bCs w:val="0"/>
          <w:sz w:val="32"/>
          <w:szCs w:val="32"/>
          <w:lang w:eastAsia="zh-CN"/>
        </w:rPr>
        <w:t>我委发挥牵头部门作用，联合省发展改革委、工业和信息化厅等部门制定广东省短缺药品供应保障工作联动会商机制工作规则；</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b w:val="0"/>
          <w:bCs w:val="0"/>
          <w:sz w:val="32"/>
          <w:szCs w:val="32"/>
          <w:lang w:eastAsia="zh-CN"/>
        </w:rPr>
        <w:t>我委联合省人力资源社会保障厅、税务局共同做好尘肺病等职业病重点行业工伤保险工作；</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b w:val="0"/>
          <w:bCs w:val="0"/>
          <w:sz w:val="32"/>
          <w:szCs w:val="32"/>
          <w:lang w:eastAsia="zh-CN"/>
        </w:rPr>
        <w:t>为做好我省新冠病毒疫苗生产、采购、储备、配送、接种、保障、支付等管理和组织实施工作，牵头成立疫苗接种使用工作专班；</w:t>
      </w:r>
      <w:r>
        <w:rPr>
          <w:rFonts w:hint="default" w:ascii="Times New Roman" w:hAnsi="Times New Roman" w:eastAsia="仿宋_GB2312" w:cs="Times New Roman"/>
          <w:b/>
          <w:bCs/>
          <w:sz w:val="32"/>
          <w:szCs w:val="32"/>
          <w:lang w:eastAsia="zh-CN"/>
        </w:rPr>
        <w:t>四是</w:t>
      </w:r>
      <w:r>
        <w:rPr>
          <w:rFonts w:hint="default" w:ascii="Times New Roman" w:hAnsi="Times New Roman" w:eastAsia="仿宋_GB2312" w:cs="Times New Roman"/>
          <w:b w:val="0"/>
          <w:bCs w:val="0"/>
          <w:sz w:val="32"/>
          <w:szCs w:val="32"/>
          <w:lang w:eastAsia="zh-CN"/>
        </w:rPr>
        <w:t>积极与省应急管理厅沟通协商，探索建立部门间信息共享和联动机制，对同时需取得危险化学品相关许可及卫生许可的消毒产品生产企业实行并联审批并实施共同监管。我委在巡视、审计和国务院大督查中未发现有未落实事项或变相审批事项，在职责履行过程中未出现越位、缺位、错位被通报批评的情况。</w:t>
      </w:r>
    </w:p>
    <w:p>
      <w:pPr>
        <w:keepNext w:val="0"/>
        <w:keepLines w:val="0"/>
        <w:pageBreakBefore w:val="0"/>
        <w:numPr>
          <w:ilvl w:val="0"/>
          <w:numId w:val="0"/>
        </w:numPr>
        <w:kinsoku/>
        <w:wordWrap/>
        <w:overflowPunct/>
        <w:topLinePunct w:val="0"/>
        <w:autoSpaceDN/>
        <w:bidi w:val="0"/>
        <w:adjustRightInd/>
        <w:snapToGrid/>
        <w:spacing w:beforeAutospacing="0" w:afterAutospacing="0" w:line="560" w:lineRule="exact"/>
        <w:ind w:left="0" w:leftChars="0" w:right="0" w:firstLine="62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sz w:val="32"/>
          <w:szCs w:val="32"/>
          <w:lang w:eastAsia="zh-CN"/>
        </w:rPr>
        <w:t>中介服务改革落实情况。</w:t>
      </w:r>
      <w:r>
        <w:rPr>
          <w:rFonts w:hint="default" w:ascii="Times New Roman" w:hAnsi="Times New Roman" w:eastAsia="仿宋_GB2312" w:cs="Times New Roman"/>
          <w:b w:val="0"/>
          <w:bCs w:val="0"/>
          <w:sz w:val="32"/>
          <w:szCs w:val="32"/>
          <w:lang w:val="en-US" w:eastAsia="zh-CN"/>
        </w:rPr>
        <w:t>2020年度我委无中介服务事项。实时更新全省卫生健康系统行政审批中介服务事项清单，并在委公众网发布，明确中介服务事项名称、类别、设立依据、实施层级、中介服务机构资质要求等要素。我委无财政性资金项目在网上中介超市选取情况，已于2018年完成中介服务机构与主管部门脱钩工作。</w:t>
      </w:r>
    </w:p>
    <w:p>
      <w:pPr>
        <w:keepNext w:val="0"/>
        <w:keepLines w:val="0"/>
        <w:pageBreakBefore w:val="0"/>
        <w:numPr>
          <w:ilvl w:val="0"/>
          <w:numId w:val="0"/>
        </w:numPr>
        <w:kinsoku/>
        <w:wordWrap/>
        <w:overflowPunct/>
        <w:topLinePunct w:val="0"/>
        <w:autoSpaceDN/>
        <w:bidi w:val="0"/>
        <w:adjustRightInd/>
        <w:snapToGrid/>
        <w:spacing w:beforeAutospacing="0" w:afterAutospacing="0" w:line="560" w:lineRule="exact"/>
        <w:ind w:left="0" w:leftChars="0" w:right="0" w:firstLine="623"/>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val="en-US" w:eastAsia="zh-CN"/>
        </w:rPr>
        <w:t>3</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sz w:val="32"/>
          <w:szCs w:val="32"/>
          <w:lang w:eastAsia="zh-CN"/>
        </w:rPr>
        <w:t>建立健全行政许可事项评价情况。</w:t>
      </w:r>
      <w:r>
        <w:rPr>
          <w:rFonts w:hint="default" w:ascii="Times New Roman" w:hAnsi="Times New Roman" w:eastAsia="仿宋_GB2312" w:cs="Times New Roman"/>
          <w:color w:val="auto"/>
          <w:sz w:val="32"/>
          <w:szCs w:val="32"/>
          <w:shd w:val="clear" w:color="auto" w:fill="auto"/>
          <w:lang w:val="en-US" w:eastAsia="zh-CN"/>
        </w:rPr>
        <w:t>落实《广东省行政许可监督管理条例》的行政许可评价制度要求，严格行政许可事项的实施，对行政职权事项定期开展实施情况评估工作，通过直接取消审批、审批改备案、优化审批服务、开展行政许可事项服务评价等方式，进一步深化行政许可事项改革。</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firstLine="643"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highlight w:val="none"/>
          <w:lang w:val="en-US" w:eastAsia="zh-CN"/>
        </w:rPr>
        <w:t>4</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sz w:val="32"/>
          <w:szCs w:val="32"/>
          <w:highlight w:val="none"/>
          <w:lang w:eastAsia="zh-CN"/>
        </w:rPr>
        <w:t>开展减证便民情况</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b w:val="0"/>
          <w:bCs w:val="0"/>
          <w:sz w:val="32"/>
          <w:szCs w:val="32"/>
          <w:lang w:val="en-US" w:eastAsia="zh-CN"/>
        </w:rPr>
        <w:t>2020</w:t>
      </w:r>
      <w:r>
        <w:rPr>
          <w:rFonts w:hint="default" w:ascii="Times New Roman" w:hAnsi="Times New Roman" w:eastAsia="仿宋_GB2312" w:cs="Times New Roman"/>
          <w:b w:val="0"/>
          <w:bCs w:val="0"/>
          <w:sz w:val="32"/>
          <w:szCs w:val="32"/>
          <w:lang w:eastAsia="zh-CN"/>
        </w:rPr>
        <w:t>年，</w:t>
      </w:r>
      <w:r>
        <w:rPr>
          <w:rFonts w:hint="default" w:ascii="Times New Roman" w:hAnsi="Times New Roman" w:eastAsia="仿宋_GB2312" w:cs="Times New Roman"/>
          <w:b w:val="0"/>
          <w:bCs w:val="0"/>
          <w:sz w:val="32"/>
          <w:szCs w:val="32"/>
          <w:lang w:val="en-US" w:eastAsia="zh-CN"/>
        </w:rPr>
        <w:t>按照</w:t>
      </w:r>
      <w:r>
        <w:rPr>
          <w:rFonts w:hint="default" w:ascii="Times New Roman" w:hAnsi="Times New Roman" w:eastAsia="仿宋_GB2312" w:cs="Times New Roman"/>
          <w:b w:val="0"/>
          <w:bCs w:val="0"/>
          <w:sz w:val="32"/>
          <w:szCs w:val="32"/>
          <w:lang w:eastAsia="zh-CN"/>
        </w:rPr>
        <w:t>国务院办公厅《关于做好证明事项清理工作的通知》（国办发〔2018〕47号）、《教育部关于取消</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留学回国人员证明</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的公告》《人力资源社会保障部办公厅关于印发</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人力资源社会保障系统开展证明事项告知承诺制试点工作实施方案</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的通知》（人社厅发〔2019〕71号）、《广东省司法厅关于公开广东省设定的证明事项取消和保留清单的函》（粤司函〔2019〕1471号）等文件要求，我委政务服务事项分别取消提交“留学回国人员证明”“户口注销证明”“婚育状况证明”“培训基地培训考核合格证明”等相关的证明材料。我委大力推行减证便民，减少办事材料，通过使用电子证照、探索告知+承诺办理模式、整合各类政务服务数据资源等方式，为群众办事提供便利，使企业和群众办事材料减少</w:t>
      </w:r>
      <w:r>
        <w:rPr>
          <w:rFonts w:hint="default" w:ascii="Times New Roman" w:hAnsi="Times New Roman" w:eastAsia="仿宋_GB2312" w:cs="Times New Roman"/>
          <w:b w:val="0"/>
          <w:bCs w:val="0"/>
          <w:sz w:val="32"/>
          <w:szCs w:val="32"/>
          <w:lang w:val="en-US" w:eastAsia="zh-CN"/>
        </w:rPr>
        <w:t>103份，减少率为</w:t>
      </w:r>
      <w:r>
        <w:rPr>
          <w:rFonts w:hint="default" w:ascii="Times New Roman" w:hAnsi="Times New Roman" w:eastAsia="仿宋_GB2312" w:cs="Times New Roman"/>
          <w:b w:val="0"/>
          <w:bCs w:val="0"/>
          <w:sz w:val="32"/>
          <w:szCs w:val="32"/>
          <w:lang w:eastAsia="zh-CN"/>
        </w:rPr>
        <w:t>27</w:t>
      </w: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lang w:eastAsia="zh-CN"/>
        </w:rPr>
        <w:t>%；为提升办理效率，允许申请人或企业仅上传必要的申请材料，其他有关材料待审批通过之后一次性提交。</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eastAsia="zh-CN"/>
        </w:rPr>
        <w:t>数字政府改革建设推进</w:t>
      </w:r>
      <w:r>
        <w:rPr>
          <w:rFonts w:hint="default" w:ascii="Times New Roman" w:hAnsi="Times New Roman" w:eastAsia="楷体_GB2312" w:cs="Times New Roman"/>
          <w:b w:val="0"/>
          <w:bCs w:val="0"/>
          <w:sz w:val="32"/>
          <w:szCs w:val="32"/>
        </w:rPr>
        <w:t>情况。</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highlight w:val="none"/>
          <w:lang w:val="en-US" w:eastAsia="zh-CN"/>
        </w:rPr>
        <w:t>5</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sz w:val="32"/>
          <w:szCs w:val="32"/>
          <w:highlight w:val="none"/>
          <w:lang w:eastAsia="zh-CN"/>
        </w:rPr>
        <w:t>强化服务支撑能力情况</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lang w:eastAsia="zh-CN"/>
        </w:rPr>
        <w:t>2020年</w:t>
      </w:r>
      <w:r>
        <w:rPr>
          <w:rFonts w:hint="default" w:ascii="Times New Roman" w:hAnsi="Times New Roman" w:eastAsia="仿宋_GB2312" w:cs="Times New Roman"/>
          <w:b w:val="0"/>
          <w:bCs w:val="0"/>
          <w:sz w:val="32"/>
          <w:szCs w:val="32"/>
          <w:lang w:val="en-US" w:eastAsia="zh-CN"/>
        </w:rPr>
        <w:t>我委共有145项政务信息数据资源，数据挂接率100%</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累计满足外单位提出的数据共享需求300条，需求满足率100%</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我委（含二级单位）开通使用粤政易人数共2976人，5个政务服务事项进驻粤省事办理</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新增制发广东省护士执业注册电子专用章、广东省医师执业注册电子专用章、广东省医疗机构执业注册电子专用章、广东省居民死亡医学证明查询电子专用章等4个电子印章，已签发41类电子证照，常用电子证照签发率达100%。</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lang w:val="en-US" w:eastAsia="zh-CN"/>
        </w:rPr>
        <w:t>6</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sz w:val="32"/>
          <w:szCs w:val="32"/>
          <w:highlight w:val="none"/>
          <w:lang w:eastAsia="zh-CN"/>
        </w:rPr>
        <w:t>优化服务供给方式</w:t>
      </w:r>
      <w:r>
        <w:rPr>
          <w:rFonts w:hint="default" w:ascii="Times New Roman" w:hAnsi="Times New Roman" w:eastAsia="仿宋_GB2312" w:cs="Times New Roman"/>
          <w:b/>
          <w:bCs/>
          <w:sz w:val="32"/>
          <w:szCs w:val="32"/>
          <w:highlight w:val="none"/>
        </w:rPr>
        <w:t>情况。</w:t>
      </w:r>
      <w:r>
        <w:rPr>
          <w:rFonts w:hint="default" w:ascii="Times New Roman" w:hAnsi="Times New Roman" w:eastAsia="仿宋_GB2312" w:cs="Times New Roman"/>
          <w:sz w:val="32"/>
          <w:szCs w:val="32"/>
        </w:rPr>
        <w:t>2020年我委</w:t>
      </w:r>
      <w:r>
        <w:rPr>
          <w:rFonts w:hint="default" w:ascii="Times New Roman" w:hAnsi="Times New Roman" w:eastAsia="仿宋_GB2312" w:cs="Times New Roman"/>
          <w:sz w:val="32"/>
          <w:szCs w:val="32"/>
          <w:lang w:eastAsia="zh-CN"/>
        </w:rPr>
        <w:t>共有行政许可事项</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大项</w:t>
      </w:r>
      <w:r>
        <w:rPr>
          <w:rFonts w:hint="default" w:ascii="Times New Roman" w:hAnsi="Times New Roman" w:eastAsia="仿宋_GB2312" w:cs="Times New Roman"/>
          <w:sz w:val="32"/>
          <w:szCs w:val="32"/>
          <w:lang w:val="en-US" w:eastAsia="zh-CN"/>
        </w:rPr>
        <w:t>56小项</w:t>
      </w:r>
      <w:r>
        <w:rPr>
          <w:rFonts w:hint="default" w:ascii="Times New Roman" w:hAnsi="Times New Roman" w:eastAsia="仿宋_GB2312" w:cs="Times New Roman"/>
          <w:sz w:val="32"/>
          <w:szCs w:val="32"/>
        </w:rPr>
        <w:t>，其中</w:t>
      </w:r>
      <w:r>
        <w:rPr>
          <w:rFonts w:hint="default" w:ascii="Times New Roman" w:hAnsi="Times New Roman" w:eastAsia="仿宋_GB2312" w:cs="Times New Roman"/>
          <w:sz w:val="32"/>
          <w:szCs w:val="32"/>
          <w:lang w:val="en-US" w:eastAsia="zh-CN"/>
        </w:rPr>
        <w:t>6大</w:t>
      </w:r>
      <w:r>
        <w:rPr>
          <w:rFonts w:hint="default" w:ascii="Times New Roman" w:hAnsi="Times New Roman" w:eastAsia="仿宋_GB2312" w:cs="Times New Roman"/>
          <w:sz w:val="32"/>
          <w:szCs w:val="32"/>
        </w:rPr>
        <w:t>项有办件，事项办件发生率为</w:t>
      </w:r>
      <w:r>
        <w:rPr>
          <w:rFonts w:hint="default" w:ascii="Times New Roman" w:hAnsi="Times New Roman" w:eastAsia="仿宋_GB2312" w:cs="Times New Roman"/>
          <w:sz w:val="32"/>
          <w:szCs w:val="32"/>
          <w:lang w:val="en-US" w:eastAsia="zh-CN"/>
        </w:rPr>
        <w:t>66.67</w:t>
      </w:r>
      <w:r>
        <w:rPr>
          <w:rFonts w:hint="default" w:ascii="Times New Roman" w:hAnsi="Times New Roman" w:eastAsia="仿宋_GB2312" w:cs="Times New Roman"/>
          <w:sz w:val="32"/>
          <w:szCs w:val="32"/>
        </w:rPr>
        <w:t>%。网上可办政务服务事项（不含</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国垂系统</w:t>
      </w:r>
      <w:r>
        <w:rPr>
          <w:rFonts w:hint="default" w:ascii="Times New Roman" w:hAnsi="Times New Roman" w:eastAsia="仿宋_GB2312" w:cs="Times New Roman"/>
          <w:sz w:val="32"/>
          <w:szCs w:val="32"/>
          <w:lang w:eastAsia="zh-CN"/>
        </w:rPr>
        <w:t>办理的</w:t>
      </w:r>
      <w:r>
        <w:rPr>
          <w:rFonts w:hint="default" w:ascii="Times New Roman" w:hAnsi="Times New Roman" w:eastAsia="仿宋_GB2312" w:cs="Times New Roman"/>
          <w:sz w:val="32"/>
          <w:szCs w:val="32"/>
        </w:rPr>
        <w:t>事项）单点登录率达到100%。</w:t>
      </w:r>
      <w:r>
        <w:rPr>
          <w:rFonts w:hint="default" w:ascii="Times New Roman" w:hAnsi="Times New Roman" w:eastAsia="仿宋_GB2312" w:cs="Times New Roman"/>
          <w:sz w:val="32"/>
          <w:szCs w:val="32"/>
          <w:lang w:val="en-US" w:eastAsia="zh-CN"/>
        </w:rPr>
        <w:t>我委</w:t>
      </w:r>
      <w:r>
        <w:rPr>
          <w:rFonts w:hint="default" w:ascii="Times New Roman" w:hAnsi="Times New Roman" w:eastAsia="仿宋_GB2312" w:cs="Times New Roman"/>
          <w:sz w:val="32"/>
          <w:szCs w:val="32"/>
        </w:rPr>
        <w:t>56个行政许可事项</w:t>
      </w:r>
      <w:r>
        <w:rPr>
          <w:rFonts w:hint="default" w:ascii="Times New Roman" w:hAnsi="Times New Roman" w:eastAsia="仿宋_GB2312" w:cs="Times New Roman"/>
          <w:sz w:val="32"/>
          <w:szCs w:val="32"/>
          <w:lang w:eastAsia="zh-CN"/>
        </w:rPr>
        <w:t>全部</w:t>
      </w:r>
      <w:r>
        <w:rPr>
          <w:rFonts w:hint="default" w:ascii="Times New Roman" w:hAnsi="Times New Roman" w:eastAsia="仿宋_GB2312" w:cs="Times New Roman"/>
          <w:sz w:val="32"/>
          <w:szCs w:val="32"/>
        </w:rPr>
        <w:t>实现网办，网上可办率100%，</w:t>
      </w:r>
      <w:r>
        <w:rPr>
          <w:rFonts w:hint="default" w:ascii="Times New Roman" w:hAnsi="Times New Roman" w:eastAsia="仿宋_GB2312" w:cs="Times New Roman"/>
          <w:sz w:val="32"/>
          <w:szCs w:val="32"/>
          <w:lang w:eastAsia="zh-CN"/>
        </w:rPr>
        <w:t>办理深度全部达到</w:t>
      </w:r>
      <w:r>
        <w:rPr>
          <w:rFonts w:hint="default" w:ascii="Times New Roman" w:hAnsi="Times New Roman" w:eastAsia="仿宋_GB2312" w:cs="Times New Roman"/>
          <w:sz w:val="32"/>
          <w:szCs w:val="32"/>
          <w:lang w:val="en-US" w:eastAsia="zh-CN"/>
        </w:rPr>
        <w:t>IV级，全部实现零跑动；办事指南完备度与准确性均通过质检。我委“</w:t>
      </w:r>
      <w:r>
        <w:rPr>
          <w:rFonts w:hint="default" w:ascii="Times New Roman" w:hAnsi="Times New Roman" w:eastAsia="仿宋_GB2312" w:cs="Times New Roman"/>
          <w:sz w:val="32"/>
          <w:szCs w:val="32"/>
        </w:rPr>
        <w:t>申领出生医学证明</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一孩生育登记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二孩生育登记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再生育审批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计划生育手术并发症鉴定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母婴保健医学技术鉴定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等5个</w:t>
      </w:r>
      <w:r>
        <w:rPr>
          <w:rFonts w:hint="default" w:ascii="Times New Roman" w:hAnsi="Times New Roman" w:eastAsia="仿宋_GB2312" w:cs="Times New Roman"/>
          <w:sz w:val="32"/>
          <w:szCs w:val="32"/>
          <w:lang w:eastAsia="zh-CN"/>
        </w:rPr>
        <w:t>省统筹</w:t>
      </w:r>
      <w:r>
        <w:rPr>
          <w:rFonts w:hint="default" w:ascii="Times New Roman" w:hAnsi="Times New Roman" w:eastAsia="仿宋_GB2312" w:cs="Times New Roman"/>
          <w:sz w:val="32"/>
          <w:szCs w:val="32"/>
        </w:rPr>
        <w:t>政务服务事项已进驻粤省事</w:t>
      </w:r>
      <w:r>
        <w:rPr>
          <w:rFonts w:hint="default" w:ascii="Times New Roman" w:hAnsi="Times New Roman" w:eastAsia="仿宋_GB2312" w:cs="Times New Roman"/>
          <w:sz w:val="32"/>
          <w:szCs w:val="32"/>
          <w:lang w:eastAsia="zh-CN"/>
        </w:rPr>
        <w:t>，办事群众可通过手机、</w:t>
      </w:r>
      <w:r>
        <w:rPr>
          <w:rFonts w:hint="default" w:ascii="Times New Roman" w:hAnsi="Times New Roman" w:eastAsia="仿宋_GB2312" w:cs="Times New Roman"/>
          <w:sz w:val="32"/>
          <w:szCs w:val="32"/>
          <w:lang w:val="en-US" w:eastAsia="zh-CN"/>
        </w:rPr>
        <w:t>pad</w:t>
      </w:r>
      <w:r>
        <w:rPr>
          <w:rFonts w:hint="default" w:ascii="Times New Roman" w:hAnsi="Times New Roman" w:eastAsia="仿宋_GB2312" w:cs="Times New Roman"/>
          <w:sz w:val="32"/>
          <w:szCs w:val="32"/>
          <w:lang w:eastAsia="zh-CN"/>
        </w:rPr>
        <w:t>实现移动端办理</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7</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sz w:val="32"/>
          <w:szCs w:val="32"/>
          <w:highlight w:val="none"/>
          <w:lang w:val="en-US" w:eastAsia="zh-CN"/>
        </w:rPr>
        <w:t>提升服务效能情况</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lang w:val="en-US" w:eastAsia="zh-CN"/>
        </w:rPr>
        <w:t>2020年，我委从业务受理、办理及系统业务流程等方面考虑提升办事效率，23个行政许可事项为即办件，实现当天办结，占比41%。我委所有行政许可事项平均跑动次数为0次，所有事项承诺时限均低于法定办理时限，所有行政许可事项均在承诺时限内办结，事项平均办理时限低于承诺办事时限，时限压减率达78%。</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（三）加强事中事后监管情况。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640"/>
        <w:jc w:val="both"/>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highlight w:val="none"/>
          <w:lang w:val="en-US" w:eastAsia="zh-CN"/>
        </w:rPr>
        <w:t>8</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sz w:val="32"/>
          <w:szCs w:val="32"/>
          <w:highlight w:val="none"/>
        </w:rPr>
        <w:t>建立健</w:t>
      </w:r>
      <w:r>
        <w:rPr>
          <w:rFonts w:hint="default" w:ascii="Times New Roman" w:hAnsi="Times New Roman" w:eastAsia="仿宋_GB2312" w:cs="Times New Roman"/>
          <w:b/>
          <w:bCs/>
          <w:sz w:val="32"/>
          <w:szCs w:val="32"/>
        </w:rPr>
        <w:t>全监管制度</w:t>
      </w:r>
      <w:r>
        <w:rPr>
          <w:rFonts w:hint="default" w:ascii="Times New Roman" w:hAnsi="Times New Roman" w:eastAsia="仿宋_GB2312" w:cs="Times New Roman"/>
          <w:b/>
          <w:bCs/>
          <w:sz w:val="32"/>
          <w:szCs w:val="32"/>
          <w:lang w:eastAsia="zh-CN"/>
        </w:rPr>
        <w:t>机制</w:t>
      </w:r>
      <w:r>
        <w:rPr>
          <w:rFonts w:hint="default" w:ascii="Times New Roman" w:hAnsi="Times New Roman" w:eastAsia="仿宋_GB2312" w:cs="Times New Roman"/>
          <w:b/>
          <w:bCs/>
          <w:sz w:val="32"/>
          <w:szCs w:val="32"/>
        </w:rPr>
        <w:t>情况。</w:t>
      </w:r>
      <w:r>
        <w:rPr>
          <w:rFonts w:hint="default" w:ascii="Times New Roman" w:hAnsi="Times New Roman" w:eastAsia="仿宋_GB2312" w:cs="Times New Roman"/>
          <w:b w:val="0"/>
          <w:bCs w:val="0"/>
          <w:color w:val="auto"/>
          <w:kern w:val="2"/>
          <w:sz w:val="32"/>
          <w:szCs w:val="32"/>
          <w:u w:val="none" w:color="auto"/>
          <w:lang w:val="en-US" w:eastAsia="zh-CN"/>
        </w:rPr>
        <w:t>2020年，我委根据《广东省改革完善医疗卫生行业综合监管制度实施方案》（粤府办〔2019〕6号）的要求，建立了</w:t>
      </w:r>
      <w:r>
        <w:rPr>
          <w:rFonts w:hint="default" w:ascii="Times New Roman" w:hAnsi="Times New Roman" w:eastAsia="仿宋_GB2312" w:cs="Times New Roman"/>
          <w:b w:val="0"/>
          <w:bCs w:val="0"/>
          <w:color w:val="auto"/>
          <w:kern w:val="2"/>
          <w:sz w:val="32"/>
          <w:szCs w:val="32"/>
          <w:u w:val="none" w:color="auto"/>
        </w:rPr>
        <w:t>政府主导、分工协作、科学有效的医疗卫生行业综合监管制度，健全机构自治、行业自律、政府监管、社会监督相结合，涵盖全行业、全流程的多元化综合监管体系，</w:t>
      </w:r>
      <w:r>
        <w:rPr>
          <w:rFonts w:hint="default" w:ascii="Times New Roman" w:hAnsi="Times New Roman" w:eastAsia="仿宋_GB2312" w:cs="Times New Roman"/>
          <w:b w:val="0"/>
          <w:bCs w:val="0"/>
          <w:color w:val="auto"/>
          <w:kern w:val="2"/>
          <w:sz w:val="32"/>
          <w:szCs w:val="32"/>
          <w:u w:val="none" w:color="auto"/>
          <w:lang w:eastAsia="zh-CN"/>
        </w:rPr>
        <w:t>不断完善协同监管、大数据监管、信用监管</w:t>
      </w:r>
      <w:r>
        <w:rPr>
          <w:rFonts w:hint="default" w:ascii="Times New Roman" w:hAnsi="Times New Roman" w:cs="Times New Roman"/>
          <w:b w:val="0"/>
          <w:bCs w:val="0"/>
          <w:color w:val="auto"/>
          <w:kern w:val="2"/>
          <w:sz w:val="32"/>
          <w:szCs w:val="32"/>
          <w:u w:val="none" w:color="auto"/>
          <w:lang w:eastAsia="zh-CN"/>
        </w:rPr>
        <w:t>、</w:t>
      </w:r>
      <w:r>
        <w:rPr>
          <w:rFonts w:hint="default" w:ascii="Times New Roman" w:hAnsi="Times New Roman" w:eastAsia="仿宋_GB2312" w:cs="Times New Roman"/>
          <w:b w:val="0"/>
          <w:bCs w:val="0"/>
          <w:color w:val="auto"/>
          <w:kern w:val="2"/>
          <w:sz w:val="32"/>
          <w:szCs w:val="32"/>
          <w:u w:val="none" w:color="auto"/>
        </w:rPr>
        <w:t>卫生健康执法机制。</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建立以案促管监督机制，执法能力进一步提升。近两年，我省通过开展以案促管工作，执法能力规范化水平显著提升，连续两年案件查处数量全国领先，得到了国家卫生健康委的肯定，2020年1月在全国卫生监督工作会议上做了经验交流。截止2020年11月，全省共查处案件13865宗，罚没金额超过4123万元，没收违法所得约362万元，查处案件数继续排在全国前列，职业卫生零办案工作顺利完成，从执法力度、执法行为、办案质量三方面各级卫生监督员执法能力得到稳步提升，打造出一支专业高效、统一规范、文明公正的监督执法队伍。</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建立部门联合双随机监督抽查机制。联合省市场监督管理局按照《关于进一步做好2020年度部门联合“双随机、一公开”监管工作的函》的有关要求，积极做好部门联合双随机相关事项。按照“谁主管、谁牵头、谁发起”的原则，制定了18项我委牵头负责的联合“双随机、一公开”抽查事项清单。为贯彻落实教育部、国家卫生健康委等8部门印发的《综合防控儿童青少年近视实施方案》，联合省教育厅对全省学校、托幼机构、校外培训机构教室（教学场所）的采光照明进行“双随机”抽检、记录并公布。</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建立结果协同运用机制，震慑违法行为。对抽查检查中发现的违法行为，一查到底，依法处罚，对因</w:t>
      </w:r>
      <w:r>
        <w:rPr>
          <w:rFonts w:hint="default" w:ascii="Times New Roman" w:hAnsi="Times New Roman" w:eastAsia="仿宋_GB2312" w:cs="Times New Roman"/>
          <w:kern w:val="0"/>
          <w:sz w:val="32"/>
          <w:szCs w:val="32"/>
          <w:lang w:val="en-US" w:eastAsia="zh-CN" w:bidi="ar"/>
        </w:rPr>
        <w:t>“双随机”抽查被处罚的单位纳入下一年“双随机”必查单位。对“双随机”发现问题的，记入检查对象的社会信用记录，与市场监管部门共享检查结果，实行失信联合惩戒。</w:t>
      </w:r>
    </w:p>
    <w:p>
      <w:pPr>
        <w:keepNext w:val="0"/>
        <w:keepLines w:val="0"/>
        <w:pageBreakBefore w:val="0"/>
        <w:numPr>
          <w:ilvl w:val="0"/>
          <w:numId w:val="0"/>
        </w:numPr>
        <w:kinsoku/>
        <w:wordWrap/>
        <w:overflowPunct/>
        <w:topLinePunct w:val="0"/>
        <w:autoSpaceDN/>
        <w:bidi w:val="0"/>
        <w:adjustRightInd/>
        <w:snapToGrid/>
        <w:spacing w:beforeAutospacing="0" w:afterAutospacing="0" w:line="560" w:lineRule="exact"/>
        <w:ind w:left="0" w:leftChars="0" w:righ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highlight w:val="none"/>
          <w:lang w:val="en-US" w:eastAsia="zh-CN"/>
        </w:rPr>
        <w:t>9</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sz w:val="32"/>
          <w:szCs w:val="32"/>
          <w:highlight w:val="none"/>
        </w:rPr>
        <w:t>开展监管</w:t>
      </w:r>
      <w:r>
        <w:rPr>
          <w:rFonts w:hint="default" w:ascii="Times New Roman" w:hAnsi="Times New Roman" w:eastAsia="仿宋_GB2312" w:cs="Times New Roman"/>
          <w:b/>
          <w:bCs/>
          <w:sz w:val="32"/>
          <w:szCs w:val="32"/>
        </w:rPr>
        <w:t>情况。</w:t>
      </w:r>
      <w:r>
        <w:rPr>
          <w:rFonts w:hint="default" w:ascii="Times New Roman" w:hAnsi="Times New Roman" w:eastAsia="仿宋_GB2312" w:cs="Times New Roman"/>
          <w:sz w:val="32"/>
          <w:szCs w:val="32"/>
          <w:lang w:val="en-US" w:eastAsia="zh-CN"/>
        </w:rPr>
        <w:t>按照《广东省人民政府办公厅转发国务院办公厅关于推广随机抽查规范事中事后监管的通知》（粤办函〔2015〕503号）和《广东省卫生计生委办公室关于推广随机抽查规范事中事后监管工作的通知》（粤卫办〔2016〕24号）精神，2020年，我省共抽取“双随机”检查单位28874家，广东被抽查任务量占全国监督抽检任务量的13%。涵盖了卫生健康监管全部领域，其中抽查公共场所20696家、生活饮用水456家、学校2355家、医疗卫生机构2005家、放射卫生772家、传染病防控2045家、血液安全单位30家、职业卫生技术服务机构17家、消毒产品生产企业222家、餐饮具集中消毒企业223家、妇幼保健机构53家。克服了疫情防控形势下双随机抽检工作困难，案件查处率和完结率等指标继续排在全国前列。我委将“双随机、一公开”监管方式作为加强事中事后监管的重点工作来抓，年初在抽取“双随机”任务之时，会组织会议研究部署落实“双随机”任务的方案和具体措施，印发随机监督抽查计划，并要求各级卫生健康部门制定实施方案，以确保“双随机、一公开”工作扎实有序推进。每年根据“双随机”抽查工作制定任务清单，倒排时间表，全力抓好工作完成进度。</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定期通过卫生健康监督信息系统查看全省各市“双随机”任务执行情况，并将执行情况向全省卫生监督机构进行通报，各专业科室也在全省工作群中定期发布工作完成进度表，及时沟通解决各地在填报“双随机”任务完成情况中碰到的问题，以确保按时按质按量完成任务。</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在执行过程中及时召集相关领导和相关专业负责人召开“双随机”工作进度会议，对“双随机”任务进度和存在的问题进行讨论，对下一阶段的工作进行部署。</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加强“双随机、一公开”抽查工作的督导调研工作，进一步找准问题、加强执法办案，确保“双随机、一公开”工作圆满完成。并</w:t>
      </w:r>
      <w:r>
        <w:rPr>
          <w:rFonts w:hint="default" w:ascii="Times New Roman" w:hAnsi="Times New Roman" w:eastAsia="仿宋_GB2312" w:cs="Times New Roman"/>
          <w:kern w:val="0"/>
          <w:sz w:val="32"/>
          <w:szCs w:val="32"/>
          <w:lang w:val="en-US" w:eastAsia="zh-CN" w:bidi="ar"/>
        </w:rPr>
        <w:t>建立随机抽查结果和行政处罚信息公开机制，各级卫生健康部门按照“谁检查、谁录入、谁公开”的原则，将抽查结果信息通过当地官方网站、新闻、报纸、两微等新媒体平台依法向社会公布随机抽查结果和行政处罚信息。</w:t>
      </w:r>
      <w:r>
        <w:rPr>
          <w:rFonts w:hint="default" w:ascii="Times New Roman" w:hAnsi="Times New Roman" w:eastAsia="仿宋_GB2312" w:cs="Times New Roman"/>
          <w:sz w:val="32"/>
          <w:szCs w:val="32"/>
          <w:lang w:val="en-US" w:eastAsia="zh-CN"/>
        </w:rPr>
        <w:t>无监管失职或国家考核评议和国务院大督查中发现有未落实事项。</w:t>
      </w:r>
    </w:p>
    <w:p>
      <w:pPr>
        <w:keepNext w:val="0"/>
        <w:keepLines w:val="0"/>
        <w:pageBreakBefore w:val="0"/>
        <w:numPr>
          <w:ilvl w:val="0"/>
          <w:numId w:val="0"/>
        </w:numPr>
        <w:kinsoku/>
        <w:wordWrap/>
        <w:overflowPunct/>
        <w:topLinePunct w:val="0"/>
        <w:autoSpaceDN/>
        <w:bidi w:val="0"/>
        <w:adjustRightInd/>
        <w:snapToGrid/>
        <w:spacing w:beforeAutospacing="0" w:afterAutospacing="0" w:line="560" w:lineRule="exact"/>
        <w:ind w:left="0" w:leftChars="0" w:righ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highlight w:val="none"/>
        </w:rPr>
        <w:t>1</w:t>
      </w:r>
      <w:r>
        <w:rPr>
          <w:rFonts w:hint="default" w:ascii="Times New Roman" w:hAnsi="Times New Roman" w:eastAsia="仿宋_GB2312" w:cs="Times New Roman"/>
          <w:b/>
          <w:bCs/>
          <w:sz w:val="32"/>
          <w:szCs w:val="32"/>
          <w:highlight w:val="none"/>
          <w:lang w:val="en-US" w:eastAsia="zh-CN"/>
        </w:rPr>
        <w:t>0</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sz w:val="32"/>
          <w:szCs w:val="32"/>
          <w:highlight w:val="none"/>
        </w:rPr>
        <w:t>创新监管方式情</w:t>
      </w:r>
      <w:r>
        <w:rPr>
          <w:rFonts w:hint="default" w:ascii="Times New Roman" w:hAnsi="Times New Roman" w:eastAsia="仿宋_GB2312" w:cs="Times New Roman"/>
          <w:b/>
          <w:bCs/>
          <w:sz w:val="32"/>
          <w:szCs w:val="32"/>
        </w:rPr>
        <w:t>况。</w:t>
      </w:r>
      <w:r>
        <w:rPr>
          <w:rFonts w:hint="default" w:ascii="Times New Roman" w:hAnsi="Times New Roman" w:eastAsia="仿宋_GB2312" w:cs="Times New Roman"/>
          <w:sz w:val="32"/>
          <w:szCs w:val="32"/>
          <w:lang w:val="en-US" w:eastAsia="zh-CN"/>
        </w:rPr>
        <w:t>2020年，我省创新监督水平不断提高。</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深圳市“智慧卫监”和监督执法信息化建设经验得到国家的高度肯定，去年12月国家卫生健康委综合监督局在深圳召开了全国卫生健康监督信息化工作现场会，总结推广深圳经验做法。</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广州、深圳、佛山、东莞、云浮等5市试点探索建立信息监管、信用监管、行业监管、职业卫生分类分级监管试点等多元化监管机制。</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广州、深圳、珠海、佛山等地利用“互联网+监管”，搭建卫生健康在线监管平台，推行生活饮用水、游泳场所水质在线监测试点工作。</w:t>
      </w:r>
    </w:p>
    <w:p>
      <w:pPr>
        <w:keepNext w:val="0"/>
        <w:keepLines w:val="0"/>
        <w:pageBreakBefore w:val="0"/>
        <w:kinsoku/>
        <w:wordWrap/>
        <w:overflowPunct/>
        <w:topLinePunct w:val="0"/>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w:t>
      </w:r>
      <w:r>
        <w:rPr>
          <w:rFonts w:hint="default" w:ascii="Times New Roman" w:hAnsi="Times New Roman" w:eastAsia="楷体_GB2312" w:cs="Times New Roman"/>
          <w:b w:val="0"/>
          <w:bCs w:val="0"/>
          <w:sz w:val="32"/>
          <w:szCs w:val="32"/>
          <w:lang w:eastAsia="zh-CN"/>
        </w:rPr>
        <w:t>投诉举报和服务对象满意</w:t>
      </w:r>
      <w:r>
        <w:rPr>
          <w:rFonts w:hint="default" w:ascii="Times New Roman" w:hAnsi="Times New Roman" w:eastAsia="楷体_GB2312" w:cs="Times New Roman"/>
          <w:b w:val="0"/>
          <w:bCs w:val="0"/>
          <w:sz w:val="32"/>
          <w:szCs w:val="32"/>
        </w:rPr>
        <w:t>情况。</w:t>
      </w:r>
    </w:p>
    <w:p>
      <w:pPr>
        <w:keepNext w:val="0"/>
        <w:keepLines w:val="0"/>
        <w:pageBreakBefore w:val="0"/>
        <w:numPr>
          <w:ilvl w:val="0"/>
          <w:numId w:val="0"/>
        </w:numPr>
        <w:kinsoku/>
        <w:wordWrap/>
        <w:overflowPunct/>
        <w:topLinePunct w:val="0"/>
        <w:autoSpaceDN/>
        <w:bidi w:val="0"/>
        <w:adjustRightInd/>
        <w:snapToGrid/>
        <w:spacing w:beforeAutospacing="0" w:afterAutospacing="0" w:line="560" w:lineRule="exact"/>
        <w:ind w:left="0" w:leftChars="0" w:right="0"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cs="Times New Roman"/>
          <w:b/>
          <w:bCs/>
          <w:sz w:val="32"/>
          <w:szCs w:val="32"/>
          <w:lang w:val="en-US" w:eastAsia="zh-CN"/>
        </w:rPr>
        <w:t>1</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sz w:val="32"/>
          <w:szCs w:val="32"/>
          <w:lang w:val="en-US" w:eastAsia="zh-CN"/>
        </w:rPr>
        <w:t>政务服务“好差评”情况。</w:t>
      </w:r>
      <w:r>
        <w:rPr>
          <w:rFonts w:hint="default" w:ascii="Times New Roman" w:hAnsi="Times New Roman" w:eastAsia="仿宋_GB2312" w:cs="Times New Roman"/>
          <w:b w:val="0"/>
          <w:bCs w:val="0"/>
          <w:sz w:val="32"/>
          <w:szCs w:val="32"/>
          <w:lang w:val="en-US" w:eastAsia="zh-CN"/>
        </w:rPr>
        <w:t>2020年，我委行政许可事项办件全部按时办结，政务服务“好差评”总评平均分为7.86分，较2019年提高0.81分，且未收到差评整改工单。我委办证大厅按要求在政务服务窗口布设“好差评”评价二维码，积极推动办事人员开展评价，同时积极推动自建政务服务系统与省“好差评”系统对接，目前已有广东省大型医用设备配置与使用监督管理系统、广东省生育服务专窗系统、广东省出生医学证明系统等3个自建政务服务系统与省</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好差评</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系统完成对接。</w:t>
      </w:r>
    </w:p>
    <w:p>
      <w:pPr>
        <w:keepNext w:val="0"/>
        <w:keepLines w:val="0"/>
        <w:pageBreakBefore w:val="0"/>
        <w:numPr>
          <w:ilvl w:val="0"/>
          <w:numId w:val="0"/>
        </w:numPr>
        <w:kinsoku/>
        <w:wordWrap/>
        <w:overflowPunct/>
        <w:topLinePunct w:val="0"/>
        <w:autoSpaceDN/>
        <w:bidi w:val="0"/>
        <w:adjustRightInd/>
        <w:snapToGrid/>
        <w:spacing w:beforeAutospacing="0" w:afterAutospacing="0" w:line="560" w:lineRule="exact"/>
        <w:ind w:left="0" w:leftChars="0" w:right="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cs="Times New Roman"/>
          <w:b/>
          <w:bCs/>
          <w:sz w:val="32"/>
          <w:szCs w:val="32"/>
          <w:lang w:val="en-US" w:eastAsia="zh-CN"/>
        </w:rPr>
        <w:t>2</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sz w:val="32"/>
          <w:szCs w:val="32"/>
          <w:lang w:val="en-US" w:eastAsia="zh-CN"/>
        </w:rPr>
        <w:t>咨询、投诉、求助、建议办理情况。</w:t>
      </w:r>
      <w:r>
        <w:rPr>
          <w:rFonts w:hint="default" w:ascii="Times New Roman" w:hAnsi="Times New Roman" w:eastAsia="仿宋_GB2312" w:cs="Times New Roman"/>
          <w:b w:val="0"/>
          <w:bCs w:val="0"/>
          <w:color w:val="auto"/>
          <w:sz w:val="32"/>
          <w:szCs w:val="32"/>
          <w:lang w:val="en-US" w:eastAsia="zh-CN"/>
        </w:rPr>
        <w:t>我委建立健全省咨询投诉平台知识库更新维护机制。2020年，我委办理政务服务网、“12345”热线、“粤省事”及其他渠道收到的咨询、</w:t>
      </w:r>
      <w:r>
        <w:rPr>
          <w:rFonts w:hint="default" w:ascii="Times New Roman" w:hAnsi="Times New Roman" w:eastAsia="仿宋_GB2312" w:cs="Times New Roman"/>
          <w:color w:val="auto"/>
          <w:sz w:val="32"/>
          <w:szCs w:val="32"/>
        </w:rPr>
        <w:t>投诉、求助、建议工单</w:t>
      </w:r>
      <w:r>
        <w:rPr>
          <w:rFonts w:hint="default" w:ascii="Times New Roman" w:hAnsi="Times New Roman" w:eastAsia="仿宋_GB2312" w:cs="Times New Roman"/>
          <w:color w:val="auto"/>
          <w:sz w:val="32"/>
          <w:szCs w:val="32"/>
          <w:lang w:eastAsia="zh-CN"/>
        </w:rPr>
        <w:t>共</w:t>
      </w:r>
      <w:r>
        <w:rPr>
          <w:rFonts w:hint="default" w:ascii="Times New Roman" w:hAnsi="Times New Roman" w:eastAsia="仿宋_GB2312" w:cs="Times New Roman"/>
          <w:color w:val="auto"/>
          <w:sz w:val="32"/>
          <w:szCs w:val="32"/>
          <w:lang w:val="en-US" w:eastAsia="zh-CN"/>
        </w:rPr>
        <w:t>962单</w:t>
      </w:r>
      <w:r>
        <w:rPr>
          <w:rFonts w:hint="default" w:ascii="Times New Roman" w:hAnsi="Times New Roman" w:eastAsia="仿宋_GB2312" w:cs="Times New Roman"/>
          <w:color w:val="auto"/>
          <w:sz w:val="32"/>
          <w:szCs w:val="32"/>
          <w:lang w:eastAsia="zh-CN"/>
        </w:rPr>
        <w:t>，受</w:t>
      </w:r>
      <w:r>
        <w:rPr>
          <w:rFonts w:hint="default" w:ascii="Times New Roman" w:hAnsi="Times New Roman" w:eastAsia="仿宋_GB2312" w:cs="Times New Roman"/>
          <w:color w:val="auto"/>
          <w:sz w:val="32"/>
          <w:szCs w:val="32"/>
          <w:lang w:val="en-US" w:eastAsia="zh-CN"/>
        </w:rPr>
        <w:t>疫情影响，我委工单按时办结率为99.8%。同时我委按时在知识库录入新知识信息并及时反馈省咨询投诉平台提出的知识补充和修订要求，按时录入率为100%。</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4" w:firstLineChars="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下一步工作措施</w:t>
      </w:r>
    </w:p>
    <w:p>
      <w:r>
        <w:rPr>
          <w:rFonts w:hint="default" w:ascii="Times New Roman" w:hAnsi="Times New Roman" w:eastAsia="仿宋_GB2312" w:cs="Times New Roman"/>
          <w:snapToGrid w:val="0"/>
          <w:kern w:val="0"/>
          <w:sz w:val="32"/>
          <w:szCs w:val="32"/>
          <w:lang w:val="en-US" w:eastAsia="zh-CN"/>
        </w:rPr>
        <w:t>坚决贯彻新制修订的《民法典》《行政处罚法》《基本医疗卫生与健康促进法》《优化营商环境条例》，认真落实《国务院关于深化“证照分离”改革进一步激发市场主体发展活动的通知》《国务院办公厅关于全面推行证明事项和涉企经营许可事项告知承诺制的指导意见》及我省系列贯彻实施方案，落实省委省政府关于深化“放管服”改革优化营商环境工作部署，一</w:t>
      </w:r>
      <w:r>
        <w:rPr>
          <w:rFonts w:hint="default" w:ascii="Times New Roman" w:hAnsi="Times New Roman" w:eastAsia="仿宋_GB2312" w:cs="Times New Roman"/>
          <w:b/>
          <w:bCs/>
          <w:kern w:val="0"/>
          <w:sz w:val="32"/>
          <w:szCs w:val="32"/>
          <w:lang w:val="en-US" w:eastAsia="zh-CN" w:bidi="ar-SA"/>
        </w:rPr>
        <w:t>是</w:t>
      </w:r>
      <w:r>
        <w:rPr>
          <w:rFonts w:hint="default" w:ascii="Times New Roman" w:hAnsi="Times New Roman" w:eastAsia="仿宋_GB2312" w:cs="Times New Roman"/>
          <w:snapToGrid w:val="0"/>
          <w:kern w:val="0"/>
          <w:sz w:val="32"/>
          <w:szCs w:val="32"/>
          <w:lang w:val="en-US" w:eastAsia="zh-CN"/>
        </w:rPr>
        <w:t>清理</w:t>
      </w:r>
      <w:r>
        <w:rPr>
          <w:rFonts w:hint="default" w:ascii="Times New Roman" w:hAnsi="Times New Roman" w:eastAsia="仿宋_GB2312" w:cs="Times New Roman"/>
          <w:snapToGrid w:val="0"/>
          <w:sz w:val="32"/>
          <w:szCs w:val="32"/>
          <w:lang w:val="en-US" w:eastAsia="zh-CN"/>
        </w:rPr>
        <w:t>与</w:t>
      </w:r>
      <w:r>
        <w:rPr>
          <w:rFonts w:hint="default" w:ascii="Times New Roman" w:hAnsi="Times New Roman" w:eastAsia="仿宋_GB2312" w:cs="Times New Roman"/>
          <w:sz w:val="32"/>
          <w:szCs w:val="32"/>
          <w:lang w:val="en-US" w:eastAsia="zh-CN"/>
        </w:rPr>
        <w:t>《民法典》《行政处罚法》等</w:t>
      </w:r>
      <w:r>
        <w:rPr>
          <w:rFonts w:hint="default" w:ascii="Times New Roman" w:hAnsi="Times New Roman" w:eastAsia="仿宋_GB2312" w:cs="Times New Roman"/>
          <w:snapToGrid w:val="0"/>
          <w:sz w:val="32"/>
          <w:szCs w:val="32"/>
          <w:lang w:val="en-US" w:eastAsia="zh-CN"/>
        </w:rPr>
        <w:t>上位法规定不一致、妨碍公平竞争的</w:t>
      </w:r>
      <w:r>
        <w:rPr>
          <w:rFonts w:hint="default" w:ascii="Times New Roman" w:hAnsi="Times New Roman" w:eastAsia="仿宋_GB2312" w:cs="Times New Roman"/>
          <w:sz w:val="32"/>
          <w:szCs w:val="32"/>
          <w:lang w:val="en-US" w:eastAsia="zh-CN"/>
        </w:rPr>
        <w:t>法规规章和规范性文件，按立法程序和时间安排抓紧做好《</w:t>
      </w:r>
      <w:r>
        <w:rPr>
          <w:rFonts w:hint="default" w:ascii="Times New Roman" w:hAnsi="Times New Roman" w:eastAsia="仿宋_GB2312" w:cs="Times New Roman"/>
          <w:snapToGrid w:val="0"/>
          <w:color w:val="auto"/>
          <w:sz w:val="32"/>
          <w:szCs w:val="32"/>
          <w:vertAlign w:val="baseline"/>
          <w:lang w:eastAsia="zh-CN"/>
        </w:rPr>
        <w:t>广东省病媒生物预防控制管理规定》《</w:t>
      </w:r>
      <w:r>
        <w:rPr>
          <w:rFonts w:hint="default" w:ascii="Times New Roman" w:hAnsi="Times New Roman" w:eastAsia="仿宋_GB2312" w:cs="Times New Roman"/>
          <w:b w:val="0"/>
          <w:bCs w:val="0"/>
          <w:snapToGrid w:val="0"/>
          <w:color w:val="auto"/>
          <w:sz w:val="32"/>
          <w:szCs w:val="32"/>
          <w:highlight w:val="none"/>
          <w:vertAlign w:val="baseline"/>
          <w:lang w:eastAsia="zh-CN"/>
        </w:rPr>
        <w:t>广东省医疗纠纷预防与处理办法》的修订工作</w:t>
      </w:r>
      <w:r>
        <w:rPr>
          <w:rFonts w:hint="default" w:ascii="Times New Roman" w:hAnsi="Times New Roman" w:eastAsia="仿宋_GB2312" w:cs="Times New Roman"/>
          <w:snapToGrid w:val="0"/>
          <w:sz w:val="32"/>
          <w:szCs w:val="32"/>
          <w:lang w:val="en-US" w:eastAsia="zh-CN"/>
        </w:rPr>
        <w:t>。</w:t>
      </w:r>
      <w:r>
        <w:rPr>
          <w:rFonts w:hint="default" w:ascii="Times New Roman" w:hAnsi="Times New Roman" w:eastAsia="仿宋_GB2312" w:cs="Times New Roman"/>
          <w:b/>
          <w:bCs/>
          <w:kern w:val="0"/>
          <w:sz w:val="32"/>
          <w:szCs w:val="32"/>
          <w:lang w:val="en-US" w:eastAsia="zh-CN" w:bidi="ar-SA"/>
        </w:rPr>
        <w:t>二是</w:t>
      </w:r>
      <w:r>
        <w:rPr>
          <w:rFonts w:hint="default" w:ascii="Times New Roman" w:hAnsi="Times New Roman" w:eastAsia="仿宋_GB2312" w:cs="Times New Roman"/>
          <w:snapToGrid w:val="0"/>
          <w:kern w:val="0"/>
          <w:sz w:val="32"/>
          <w:szCs w:val="32"/>
          <w:lang w:val="en-US" w:eastAsia="zh-CN" w:bidi="ar-SA"/>
        </w:rPr>
        <w:t>持续做好证明事项告知承诺制改革，在前期已对办理“乡村医生执业注册”需提交的《村医疗卫生机构拟聘用证明》实施告知承诺制的基础上，进一步在自贸区推行</w:t>
      </w:r>
      <w:r>
        <w:rPr>
          <w:rFonts w:hint="default" w:ascii="Times New Roman" w:hAnsi="Times New Roman" w:eastAsia="仿宋_GB2312" w:cs="Times New Roman"/>
          <w:sz w:val="32"/>
          <w:szCs w:val="24"/>
          <w:lang w:val="en-US" w:eastAsia="zh-CN"/>
        </w:rPr>
        <w:t>“</w:t>
      </w:r>
      <w:r>
        <w:rPr>
          <w:rFonts w:hint="default" w:ascii="Times New Roman" w:hAnsi="Times New Roman" w:eastAsia="仿宋_GB2312" w:cs="Times New Roman"/>
          <w:color w:val="auto"/>
          <w:kern w:val="2"/>
          <w:sz w:val="32"/>
          <w:highlight w:val="none"/>
        </w:rPr>
        <w:t>麻醉药品和第一类精神药品购用许可</w:t>
      </w:r>
      <w:r>
        <w:rPr>
          <w:rFonts w:hint="default" w:ascii="Times New Roman" w:hAnsi="Times New Roman" w:eastAsia="仿宋_GB2312" w:cs="Times New Roman"/>
          <w:color w:val="auto"/>
          <w:kern w:val="2"/>
          <w:sz w:val="32"/>
          <w:highlight w:val="none"/>
          <w:lang w:eastAsia="zh-CN"/>
        </w:rPr>
        <w:t>”“生产用于传染病防治的消毒产品的单位审批”</w:t>
      </w:r>
      <w:r>
        <w:rPr>
          <w:rFonts w:hint="default" w:ascii="Times New Roman" w:hAnsi="Times New Roman" w:eastAsia="仿宋_GB2312" w:cs="Times New Roman"/>
          <w:snapToGrid w:val="0"/>
          <w:kern w:val="0"/>
          <w:sz w:val="32"/>
          <w:szCs w:val="32"/>
          <w:lang w:val="en-US" w:eastAsia="zh-CN" w:bidi="ar-SA"/>
        </w:rPr>
        <w:t>告知承诺制改革，进一步优化“饮用水供水单位卫生许可”“放射卫生技术服务机构认定”“放射诊疗许可”“戒毒治疗许可”等审批服务。</w:t>
      </w:r>
      <w:r>
        <w:rPr>
          <w:rFonts w:hint="default" w:ascii="Times New Roman" w:hAnsi="Times New Roman" w:eastAsia="仿宋_GB2312" w:cs="Times New Roman"/>
          <w:b/>
          <w:bCs/>
          <w:kern w:val="0"/>
          <w:sz w:val="32"/>
          <w:szCs w:val="32"/>
          <w:lang w:val="en-US" w:eastAsia="zh-CN" w:bidi="ar-SA"/>
        </w:rPr>
        <w:t>三是</w:t>
      </w:r>
      <w:r>
        <w:rPr>
          <w:rFonts w:hint="default" w:ascii="Times New Roman" w:hAnsi="Times New Roman" w:eastAsia="仿宋_GB2312" w:cs="Times New Roman"/>
          <w:kern w:val="0"/>
          <w:sz w:val="32"/>
          <w:szCs w:val="32"/>
          <w:lang w:val="en-US" w:eastAsia="zh-CN" w:bidi="ar-SA"/>
        </w:rPr>
        <w:t>进一步深化“互联网+政务服务”“互联网+医疗健康”解决“反复跑、排长队”等现象，切实推进检查结果等信息在不同医疗机构互通互认，及时处理群众反映的办证“痛点”“难点”问题。</w:t>
      </w:r>
      <w:r>
        <w:rPr>
          <w:rFonts w:hint="default" w:ascii="Times New Roman" w:hAnsi="Times New Roman" w:eastAsia="仿宋_GB2312" w:cs="Times New Roman"/>
          <w:b/>
          <w:bCs/>
          <w:kern w:val="0"/>
          <w:sz w:val="32"/>
          <w:szCs w:val="32"/>
          <w:lang w:val="en-US" w:eastAsia="zh-CN" w:bidi="ar-SA"/>
        </w:rPr>
        <w:t>四是</w:t>
      </w:r>
      <w:r>
        <w:rPr>
          <w:rFonts w:hint="default" w:ascii="Times New Roman" w:hAnsi="Times New Roman" w:eastAsia="仿宋_GB2312" w:cs="Times New Roman"/>
          <w:kern w:val="0"/>
          <w:sz w:val="32"/>
          <w:szCs w:val="32"/>
          <w:lang w:val="en-US" w:eastAsia="zh-CN" w:bidi="ar-SA"/>
        </w:rPr>
        <w:t>开展“公共场所卫生许可”“医疗机构设置审批和执业许可”审批事项“一照通行”试点改革，在全省范围内统一规范事项办理所需要的材料、业务表单，指导各地开展系统对接，协调解决各地在实施工作中的需求和问题。</w:t>
      </w:r>
      <w:r>
        <w:rPr>
          <w:rFonts w:hint="default" w:ascii="Times New Roman" w:hAnsi="Times New Roman" w:eastAsia="仿宋_GB2312" w:cs="Times New Roman"/>
          <w:b/>
          <w:bCs/>
          <w:kern w:val="0"/>
          <w:sz w:val="32"/>
          <w:szCs w:val="32"/>
          <w:lang w:val="en-US" w:eastAsia="zh-CN" w:bidi="ar-SA"/>
        </w:rPr>
        <w:t>五是</w:t>
      </w:r>
      <w:r>
        <w:rPr>
          <w:rFonts w:hint="default" w:ascii="Times New Roman" w:hAnsi="Times New Roman" w:eastAsia="仿宋_GB2312" w:cs="Times New Roman"/>
          <w:kern w:val="0"/>
          <w:sz w:val="32"/>
          <w:szCs w:val="32"/>
          <w:lang w:val="en-US" w:eastAsia="zh-CN" w:bidi="ar-SA"/>
        </w:rPr>
        <w:t>进一步完善以“双随机、一公开”为基础、以信用监管、智慧监管为抓手的新型监管机制，加强对医疗卫生行业诚信行为的鼓励和对失信行为的公示、警告与惩戒。</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764D0"/>
    <w:rsid w:val="45CA5A85"/>
    <w:rsid w:val="68176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2">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rPr>
      <w:rFonts w:ascii="Times New Roman" w:hAnsi="Times New Roman" w:eastAsia="宋体" w:cs="Times New Roman"/>
      <w:szCs w:val="20"/>
      <w:lang w:bidi="ar-SA"/>
    </w:rPr>
  </w:style>
  <w:style w:type="paragraph" w:styleId="4">
    <w:name w:val="envelope return"/>
    <w:basedOn w:val="1"/>
    <w:qFormat/>
    <w:uiPriority w:val="0"/>
    <w:pPr>
      <w:snapToGrid w:val="0"/>
    </w:pPr>
    <w:rPr>
      <w:rFonts w:ascii="Arial" w:hAnsi="Arial" w:eastAsia="宋体" w:cs="Times New Roman"/>
      <w:szCs w:val="24"/>
      <w:lang w:bidi="ar-SA"/>
    </w:rPr>
  </w:style>
  <w:style w:type="paragraph" w:customStyle="1" w:styleId="7">
    <w:name w:val="p0"/>
    <w:basedOn w:val="1"/>
    <w:qFormat/>
    <w:uiPriority w:val="0"/>
    <w:pPr>
      <w:widowControl/>
    </w:pPr>
    <w:rPr>
      <w:rFonts w:ascii="Times New Roman" w:hAnsi="Times New Roman" w:eastAsia="Times New Roman" w:cs="Times New Roman"/>
      <w:kern w:val="0"/>
      <w:szCs w:val="21"/>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2021-07-13T01:34:00Z</dcterms:created>
  <dc:creator>eva</dc:creator>
  <cp:lastModifiedBy>eva</cp:lastModifiedBy>
  <dcterms:modified xsi:type="dcterms:W3CDTF">2021-07-13T01:35:25Z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0F7B764CA3D0478284B28891531E7E5F</vt:lpwstr>
  </property>
</Properties>
</file>