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黑体" w:cs="Times New Roman"/>
          <w:color w:val="auto"/>
          <w:kern w:val="0"/>
          <w:sz w:val="32"/>
          <w:szCs w:val="32"/>
          <w:lang w:bidi="ar"/>
        </w:rPr>
      </w:pPr>
      <w:r>
        <w:rPr>
          <w:rFonts w:hint="default" w:ascii="Times New Roman" w:hAnsi="Times New Roman" w:eastAsia="黑体" w:cs="Times New Roman"/>
          <w:color w:val="auto"/>
          <w:kern w:val="0"/>
          <w:sz w:val="32"/>
          <w:szCs w:val="32"/>
          <w:lang w:bidi="ar"/>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黑体" w:cs="Times New Roman"/>
          <w:color w:val="auto"/>
          <w:kern w:val="0"/>
          <w:sz w:val="32"/>
          <w:szCs w:val="32"/>
          <w:lang w:bidi="ar"/>
        </w:rPr>
      </w:pPr>
    </w:p>
    <w:p>
      <w:pPr>
        <w:keepNext w:val="0"/>
        <w:keepLines w:val="0"/>
        <w:pageBreakBefore w:val="0"/>
        <w:widowControl w:val="0"/>
        <w:suppressLineNumbers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方正小标宋简体" w:cs="Times New Roman"/>
          <w:color w:val="auto"/>
          <w:kern w:val="0"/>
          <w:sz w:val="40"/>
          <w:szCs w:val="40"/>
          <w:lang w:bidi="ar"/>
        </w:rPr>
        <w:t>2021年广东省住院医师规范化培训招收计划表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宋体" w:cs="Times New Roman"/>
          <w:i w:val="0"/>
          <w:color w:val="000000"/>
          <w:kern w:val="0"/>
          <w:sz w:val="22"/>
          <w:szCs w:val="22"/>
          <w:u w:val="none"/>
          <w:lang w:val="en-US" w:eastAsia="zh-CN" w:bidi="ar"/>
        </w:rPr>
      </w:pPr>
    </w:p>
    <w:tbl>
      <w:tblPr>
        <w:tblStyle w:val="3"/>
        <w:tblW w:w="122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9"/>
        <w:gridCol w:w="2352"/>
        <w:gridCol w:w="842"/>
        <w:gridCol w:w="701"/>
        <w:gridCol w:w="702"/>
        <w:gridCol w:w="701"/>
        <w:gridCol w:w="701"/>
        <w:gridCol w:w="701"/>
        <w:gridCol w:w="729"/>
        <w:gridCol w:w="835"/>
        <w:gridCol w:w="894"/>
        <w:gridCol w:w="702"/>
        <w:gridCol w:w="700"/>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95" w:hRule="atLeast"/>
          <w:tblHeader/>
          <w:jc w:val="center"/>
        </w:trPr>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2352"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地市（院校）/培训基地</w:t>
            </w:r>
          </w:p>
        </w:tc>
        <w:tc>
          <w:tcPr>
            <w:tcW w:w="680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紧缺专业</w:t>
            </w:r>
          </w:p>
        </w:tc>
        <w:tc>
          <w:tcPr>
            <w:tcW w:w="7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其他专业（人）</w:t>
            </w:r>
          </w:p>
        </w:tc>
        <w:tc>
          <w:tcPr>
            <w:tcW w:w="16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40" w:hRule="atLeast"/>
          <w:tblHeader/>
          <w:jc w:val="center"/>
        </w:trPr>
        <w:tc>
          <w:tcPr>
            <w:tcW w:w="7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hint="default" w:ascii="Times New Roman" w:hAnsi="Times New Roman" w:eastAsia="黑体" w:cs="Times New Roman"/>
                <w:i w:val="0"/>
                <w:color w:val="000000"/>
                <w:sz w:val="24"/>
                <w:szCs w:val="24"/>
                <w:u w:val="none"/>
              </w:rPr>
            </w:pPr>
          </w:p>
        </w:tc>
        <w:tc>
          <w:tcPr>
            <w:tcW w:w="235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黑体" w:cs="Times New Roman"/>
                <w:i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全科（人）</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儿科（人）</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精神科（人）</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妇产科（人）</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麻醉科（人）</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急诊科（人）</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临床病理科（人）</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重症医学专业（人）</w:t>
            </w:r>
          </w:p>
        </w:tc>
        <w:tc>
          <w:tcPr>
            <w:tcW w:w="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紧缺专业小计（人）</w:t>
            </w:r>
          </w:p>
        </w:tc>
        <w:tc>
          <w:tcPr>
            <w:tcW w:w="7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黑体" w:cs="Times New Roman"/>
                <w:i w:val="0"/>
                <w:color w:val="000000"/>
                <w:sz w:val="24"/>
                <w:szCs w:val="24"/>
                <w:u w:val="none"/>
              </w:rPr>
            </w:pP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总计</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其中社会人学员数（人）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jc w:val="center"/>
        </w:trPr>
        <w:tc>
          <w:tcPr>
            <w:tcW w:w="312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全省合计</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550</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400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100</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400</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400</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120</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50</w:t>
            </w:r>
          </w:p>
        </w:tc>
        <w:tc>
          <w:tcPr>
            <w:tcW w:w="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2120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2880</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5000</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39</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55</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94</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5"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25</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55</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80</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58</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30</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88</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中国人民解放军南部战区总医院</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52</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25</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77</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235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45</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41</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73</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26</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260</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500</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760</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235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31</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13</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5 </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167</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261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428</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w:t>
            </w: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44</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83</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127</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37</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92</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129</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 </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42</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47</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89</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10</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广东药科大学</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 </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38</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72</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85</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93</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63</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13</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348</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417</w:t>
            </w:r>
          </w:p>
        </w:tc>
        <w:tc>
          <w:tcPr>
            <w:tcW w:w="7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765</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43</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14</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393</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457</w:t>
            </w:r>
          </w:p>
        </w:tc>
        <w:tc>
          <w:tcPr>
            <w:tcW w:w="7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850</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珠海市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32</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58</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90</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33</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59</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92</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235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w:t>
            </w:r>
          </w:p>
        </w:tc>
        <w:tc>
          <w:tcPr>
            <w:tcW w:w="84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17</w:t>
            </w:r>
          </w:p>
        </w:tc>
        <w:tc>
          <w:tcPr>
            <w:tcW w:w="70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w:t>
            </w:r>
          </w:p>
        </w:tc>
        <w:tc>
          <w:tcPr>
            <w:tcW w:w="70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20</w:t>
            </w:r>
          </w:p>
        </w:tc>
        <w:tc>
          <w:tcPr>
            <w:tcW w:w="70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2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83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64</w:t>
            </w:r>
          </w:p>
        </w:tc>
        <w:tc>
          <w:tcPr>
            <w:tcW w:w="7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67</w:t>
            </w:r>
          </w:p>
        </w:tc>
        <w:tc>
          <w:tcPr>
            <w:tcW w:w="70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131</w:t>
            </w:r>
          </w:p>
        </w:tc>
        <w:tc>
          <w:tcPr>
            <w:tcW w:w="9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23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韶关市</w:t>
            </w:r>
          </w:p>
        </w:tc>
        <w:tc>
          <w:tcPr>
            <w:tcW w:w="8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36</w:t>
            </w:r>
          </w:p>
        </w:tc>
        <w:tc>
          <w:tcPr>
            <w:tcW w:w="7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35</w:t>
            </w:r>
          </w:p>
        </w:tc>
        <w:tc>
          <w:tcPr>
            <w:tcW w:w="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71</w:t>
            </w:r>
          </w:p>
        </w:tc>
        <w:tc>
          <w:tcPr>
            <w:tcW w:w="9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235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梅州市</w:t>
            </w:r>
          </w:p>
        </w:tc>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70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3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32</w:t>
            </w:r>
          </w:p>
        </w:tc>
        <w:tc>
          <w:tcPr>
            <w:tcW w:w="70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47</w:t>
            </w:r>
          </w:p>
        </w:tc>
        <w:tc>
          <w:tcPr>
            <w:tcW w:w="70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79</w:t>
            </w:r>
          </w:p>
        </w:tc>
        <w:tc>
          <w:tcPr>
            <w:tcW w:w="95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49</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22</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71</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71</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103</w:t>
            </w:r>
          </w:p>
        </w:tc>
        <w:tc>
          <w:tcPr>
            <w:tcW w:w="70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174</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28</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65</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93</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84</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阳江市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21</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47</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68</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湛江市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31</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56</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87</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37</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42</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79</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肇庆市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34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84</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清远市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41</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45</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86</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揭阳市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27</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46</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73</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9</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17</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24</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汕尾市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潮州市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4</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18</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w:t>
            </w:r>
          </w:p>
        </w:tc>
        <w:tc>
          <w:tcPr>
            <w:tcW w:w="2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云浮市</w:t>
            </w:r>
          </w:p>
        </w:tc>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7</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line="300" w:lineRule="exact"/>
              <w:jc w:val="center"/>
              <w:textAlignment w:val="center"/>
              <w:rPr>
                <w:rFonts w:hint="default" w:ascii="Times New Roman" w:hAnsi="Times New Roman" w:eastAsia="等线" w:cs="Times New Roman"/>
                <w:i w:val="0"/>
                <w:color w:val="000000"/>
                <w:sz w:val="24"/>
                <w:szCs w:val="24"/>
                <w:u w:val="none"/>
              </w:rPr>
            </w:pPr>
            <w:r>
              <w:rPr>
                <w:rFonts w:hint="default" w:ascii="Times New Roman" w:hAnsi="Times New Roman" w:eastAsia="等线" w:cs="Times New Roman"/>
                <w:i w:val="0"/>
                <w:color w:val="000000"/>
                <w:kern w:val="0"/>
                <w:sz w:val="24"/>
                <w:szCs w:val="24"/>
                <w:u w:val="none"/>
                <w:lang w:val="en-US" w:eastAsia="zh-CN" w:bidi="ar"/>
              </w:rPr>
              <w:t>5</w:t>
            </w:r>
          </w:p>
        </w:tc>
      </w:tr>
    </w:tbl>
    <w:p>
      <w:pPr>
        <w:keepNext w:val="0"/>
        <w:keepLines w:val="0"/>
        <w:pageBreakBefore w:val="0"/>
        <w:widowControl w:val="0"/>
        <w:kinsoku/>
        <w:wordWrap/>
        <w:overflowPunct/>
        <w:topLinePunct w:val="0"/>
        <w:autoSpaceDE/>
        <w:autoSpaceDN/>
        <w:bidi w:val="0"/>
        <w:adjustRightInd/>
        <w:spacing w:line="380" w:lineRule="exact"/>
        <w:ind w:left="0" w:leftChars="0" w:right="0" w:firstLine="0" w:firstLineChars="0"/>
        <w:jc w:val="both"/>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注：</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1、根据各培训基地近年来实际招收人数、剩余招收容量、基地招生需求</w:t>
      </w:r>
      <w:r>
        <w:rPr>
          <w:rFonts w:hint="eastAsia" w:ascii="Times New Roman" w:hAnsi="Times New Roman" w:cs="Times New Roman"/>
          <w:i w:val="0"/>
          <w:color w:val="000000"/>
          <w:kern w:val="0"/>
          <w:sz w:val="24"/>
          <w:szCs w:val="24"/>
          <w:u w:val="none"/>
          <w:lang w:val="en-US" w:eastAsia="zh-CN" w:bidi="ar"/>
        </w:rPr>
        <w:t>、培训质量</w:t>
      </w:r>
      <w:r>
        <w:rPr>
          <w:rFonts w:hint="default" w:ascii="Times New Roman" w:hAnsi="Times New Roman" w:eastAsia="仿宋_GB2312" w:cs="Times New Roman"/>
          <w:i w:val="0"/>
          <w:color w:val="000000"/>
          <w:kern w:val="0"/>
          <w:sz w:val="24"/>
          <w:szCs w:val="24"/>
          <w:u w:val="none"/>
          <w:lang w:val="en-US" w:eastAsia="zh-CN" w:bidi="ar"/>
        </w:rPr>
        <w:t>等情况及国家有关要求等综合拟定。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2、各地（院校）要统筹做好总体招生计划、社会人招收计划以及其他专业招收计划工作，社会人学员招收比例比较低的地市（院校）要加大社会人学员招收力度；各协同单位不得独立招生。                                                          </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3、2021年招生计划（省级经费）按照预计招收社会人学员数（4000人）的80%左右下达，剩余部分下一经费年度予以结算。暨南大学附属第一医院、中国人民解放军南部战区总医院省财政补助资金由省卫生健康委转拨。中山大学附属第五医院、南方医科大学顺德医院经费下达至珠海市、佛山市，培训由所属院校统筹管理。</w:t>
      </w:r>
    </w:p>
    <w:p>
      <w:r>
        <w:rPr>
          <w:rFonts w:hint="default" w:ascii="Times New Roman" w:hAnsi="Times New Roman" w:eastAsia="仿宋_GB2312" w:cs="Times New Roman"/>
          <w:i w:val="0"/>
          <w:color w:val="000000"/>
          <w:kern w:val="0"/>
          <w:sz w:val="24"/>
          <w:szCs w:val="24"/>
          <w:u w:val="none"/>
          <w:lang w:val="en-US" w:eastAsia="zh-CN" w:bidi="ar"/>
        </w:rPr>
        <w:t>4、第三批新增国家基地按照2021年计划进行招生，经费在下一年度予以结算。</w:t>
      </w:r>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50B85"/>
    <w:rsid w:val="45CA5A85"/>
    <w:rsid w:val="66A5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2021-04-06T01:43:00Z</dcterms:created>
  <dc:creator>eva</dc:creator>
  <cp:lastModifiedBy>eva</cp:lastModifiedBy>
  <dcterms:modified xsi:type="dcterms:W3CDTF">2021-04-06T01:44:29Z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