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eastAsia="方正小标宋简体" w:cs="Times New Roman"/>
          <w:snapToGrid w:val="0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napToGrid w:val="0"/>
          <w:kern w:val="0"/>
          <w:sz w:val="44"/>
          <w:szCs w:val="44"/>
        </w:rPr>
        <w:t>感控专家课堂二维码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</w:rPr>
      </w:pPr>
      <w:bookmarkStart w:id="0" w:name="_GoBack"/>
      <w:r>
        <w:rPr>
          <w:rFonts w:hint="default" w:ascii="Times New Roman" w:hAnsi="Times New Roman" w:cs="Times New Roman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1232535</wp:posOffset>
            </wp:positionH>
            <wp:positionV relativeFrom="paragraph">
              <wp:posOffset>329565</wp:posOffset>
            </wp:positionV>
            <wp:extent cx="3387090" cy="3387090"/>
            <wp:effectExtent l="0" t="0" r="3810" b="3810"/>
            <wp:wrapNone/>
            <wp:docPr id="1" name="图片 1" descr="C:\Users\SDHGY\Desktop\图片1.png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SDHGY\Desktop\图片1.png图片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387090" cy="3387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/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A84B1F"/>
    <w:rsid w:val="45CA5A85"/>
    <w:rsid w:val="7DA84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省卫生和计划生育委员会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2021-01-14T07:40:00Z</dcterms:created>
  <dc:creator>eva</dc:creator>
  <cp:lastModifiedBy>eva</cp:lastModifiedBy>
  <dcterms:modified xsi:type="dcterms:W3CDTF">2021-01-14T07:40:57Z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