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1</w:t>
      </w:r>
    </w:p>
    <w:p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地中海贫血防控工作流程图</w:t>
      </w:r>
    </w:p>
    <w:p>
      <w:pPr>
        <w:rPr>
          <w:rFonts w:hint="default" w:ascii="Times New Roman" w:hAnsi="Times New Roman" w:cs="Times New Roman"/>
          <w:b/>
          <w:sz w:val="36"/>
          <w:szCs w:val="16"/>
          <w:highlight w:val="none"/>
        </w:rPr>
      </w:pPr>
    </w:p>
    <w:p>
      <w:pPr>
        <w:snapToGrid w:val="0"/>
        <w:rPr>
          <w:rFonts w:hint="default" w:ascii="Times New Roman" w:hAnsi="Times New Roman" w:eastAsia="方正小标宋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</w:rPr>
        <w:drawing>
          <wp:inline distT="0" distB="0" distL="114300" distR="114300">
            <wp:extent cx="6057900" cy="5229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7921" t="9200" r="20398" b="1443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b/>
          <w:sz w:val="36"/>
          <w:szCs w:val="1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16"/>
          <w:highlight w:val="none"/>
        </w:rPr>
        <w:t xml:space="preserve">   </w:t>
      </w:r>
    </w:p>
    <w:p>
      <w:pPr>
        <w:rPr>
          <w:rFonts w:hint="default" w:ascii="Times New Roman" w:hAnsi="Times New Roman" w:cs="Times New Roman"/>
          <w:b/>
          <w:sz w:val="36"/>
          <w:szCs w:val="16"/>
          <w:highlight w:val="none"/>
        </w:rPr>
        <w:sectPr>
          <w:pgSz w:w="11906" w:h="16838"/>
          <w:pgMar w:top="2041" w:right="1531" w:bottom="2041" w:left="1531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9" w:charSpace="-363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-2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其他致死致残性单基因病产前诊断工作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流程图及病种目录（第一批）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686425" cy="2238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hint="default" w:ascii="Times New Roman" w:hAnsi="Times New Roman" w:cs="Times New Roman"/>
          <w:spacing w:val="1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10"/>
          <w:kern w:val="0"/>
          <w:sz w:val="28"/>
          <w:szCs w:val="28"/>
          <w:highlight w:val="none"/>
        </w:rPr>
        <w:t>广东省出生缺陷防控项目产前诊断补助单基因病种目录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pacing w:val="1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10"/>
          <w:kern w:val="0"/>
          <w:sz w:val="28"/>
          <w:szCs w:val="28"/>
          <w:highlight w:val="none"/>
        </w:rPr>
        <w:t>（第一批，12种）</w:t>
      </w:r>
    </w:p>
    <w:tbl>
      <w:tblPr>
        <w:tblStyle w:val="2"/>
        <w:tblW w:w="896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057"/>
        <w:gridCol w:w="2445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病种（发病率）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病种（发病率）</w:t>
            </w:r>
          </w:p>
        </w:tc>
        <w:tc>
          <w:tcPr>
            <w:tcW w:w="2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病种（发病率）</w:t>
            </w:r>
          </w:p>
        </w:tc>
        <w:tc>
          <w:tcPr>
            <w:tcW w:w="2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病种（发病率）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21-羟化酶缺乏症（1/10000）</w:t>
            </w:r>
          </w:p>
        </w:tc>
        <w:tc>
          <w:tcPr>
            <w:tcW w:w="20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白化病（1/18000）</w:t>
            </w:r>
          </w:p>
        </w:tc>
        <w:tc>
          <w:tcPr>
            <w:tcW w:w="2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高苯丙氨酸血症（1/10397）</w:t>
            </w:r>
          </w:p>
        </w:tc>
        <w:tc>
          <w:tcPr>
            <w:tcW w:w="25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Duchenne/Becker型肌营养不良（1/3853）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血友病（2.73/100000）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脊髓性肌萎缩症（1/6000）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甲基丙二酸血症（1/28000）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瓜氨酸血症（1/9200）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非综合征性耳聋（8/10000）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原发性肉碱缺乏症（3.1/10万）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视网膜色素变性（1/3784）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zh-TW" w:eastAsia="zh-TW"/>
              </w:rPr>
              <w:t>视网膜母细胞瘤（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TW"/>
              </w:rPr>
              <w:t>1/15000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zh-TW" w:eastAsia="zh-TW"/>
              </w:rPr>
              <w:t>）</w:t>
            </w:r>
          </w:p>
        </w:tc>
      </w:tr>
    </w:tbl>
    <w:p>
      <w:pPr>
        <w:snapToGrid w:val="0"/>
        <w:spacing w:line="360" w:lineRule="auto"/>
        <w:ind w:firstLine="353" w:firstLineChars="158"/>
        <w:jc w:val="left"/>
        <w:rPr>
          <w:rFonts w:hint="default" w:ascii="Times New Roman" w:hAnsi="Times New Roman" w:cs="Times New Roman"/>
          <w:snapToGrid w:val="0"/>
          <w:kern w:val="0"/>
          <w:sz w:val="24"/>
          <w:highlight w:val="none"/>
        </w:rPr>
      </w:pPr>
    </w:p>
    <w:p>
      <w:pPr>
        <w:snapToGrid w:val="0"/>
        <w:spacing w:line="360" w:lineRule="auto"/>
        <w:ind w:firstLine="353" w:firstLineChars="158"/>
        <w:jc w:val="left"/>
        <w:rPr>
          <w:rFonts w:hint="default" w:ascii="Times New Roman" w:hAnsi="Times New Roman" w:cs="Times New Roman"/>
          <w:snapToGrid w:val="0"/>
          <w:kern w:val="0"/>
          <w:sz w:val="24"/>
          <w:highlight w:val="none"/>
        </w:rPr>
        <w:sectPr>
          <w:pgSz w:w="11906" w:h="16838"/>
          <w:pgMar w:top="2041" w:right="1531" w:bottom="2041" w:left="1531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9" w:charSpace="-3633"/>
        </w:sectPr>
      </w:pPr>
      <w:r>
        <w:rPr>
          <w:rFonts w:hint="default" w:ascii="Times New Roman" w:hAnsi="Times New Roman" w:cs="Times New Roman"/>
          <w:snapToGrid w:val="0"/>
          <w:kern w:val="0"/>
          <w:sz w:val="24"/>
          <w:highlight w:val="none"/>
        </w:rPr>
        <w:t>备注：病种选取标准：依据国家卫健委发布的《罕见病诊疗指南（2018年版）》,选取121种疾病中中国人群患病率或发病率高于1/50000、基因诊断位点明确且可以进行产前诊断的疾病。患病率为一范围的取高值。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-3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唐氏综合征及其他严重致死致残性染色体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异常防控工作流程图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>
      <w:pP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44"/>
          <w:highlight w:val="none"/>
        </w:rPr>
        <w:drawing>
          <wp:inline distT="0" distB="0" distL="114300" distR="114300">
            <wp:extent cx="5610225" cy="4895850"/>
            <wp:effectExtent l="0" t="0" r="9525" b="0"/>
            <wp:docPr id="3" name="图片 3" descr="d45d9c52a1aab94d6f03864b6e60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5d9c52a1aab94d6f03864b6e60d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小标宋简体" w:cs="Times New Roman"/>
          <w:sz w:val="36"/>
          <w:szCs w:val="16"/>
          <w:highlight w:val="none"/>
        </w:rPr>
        <w:br w:type="page"/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-4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严重致死致残性结构畸形防控工作流程图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object>
          <v:shape id="_x0000_i1028" o:spt="75" type="#_x0000_t75" style="height:508.2pt;width:485.6pt;" o:ole="t" filled="f" o:preferrelative="t" stroked="f" coordsize="21600,21600">
            <v:path/>
            <v:fill on="f" focussize="0,0"/>
            <v:stroke on="f"/>
            <v:imagedata r:id="rId8" embosscolor="#FFFFFF" o:title=""/>
            <o:lock v:ext="edit" grouping="f" rotation="f" text="f" aspectratio="t"/>
            <w10:wrap type="none"/>
            <w10:anchorlock/>
          </v:shape>
          <o:OLEObject Type="Embed" ProgID="Visio.Drawing.11" ShapeID="_x0000_i1028" DrawAspect="Content" ObjectID="_1468075725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-5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新生儿遗传代谢性疾病筛查工作流程图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16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4972050" cy="6943725"/>
            <wp:effectExtent l="0" t="0" r="0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l="28229" t="7738" r="22723" b="567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 xml:space="preserve">-6 </w:t>
      </w:r>
    </w:p>
    <w:p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新生儿听力筛查工作流程图</w:t>
      </w:r>
    </w:p>
    <w:p>
      <w:pPr>
        <w:rPr>
          <w:rFonts w:hint="default" w:ascii="Times New Roman" w:hAnsi="Times New Roman" w:cs="Times New Roman"/>
          <w:b/>
          <w:sz w:val="36"/>
          <w:szCs w:val="16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4886325" cy="6210300"/>
            <wp:effectExtent l="0" t="0" r="9525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26169" t="12379" r="25487" b="1068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-7</w:t>
      </w:r>
    </w:p>
    <w:p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早产儿视网膜病变诊查工作流程图</w:t>
      </w:r>
    </w:p>
    <w:p>
      <w:pPr>
        <w:widowControl/>
        <w:jc w:val="left"/>
        <w:rPr>
          <w:rFonts w:hint="default" w:ascii="Times New Roman" w:hAnsi="Times New Roman" w:eastAsia="方正小标宋简体" w:cs="Times New Roman"/>
          <w:spacing w:val="10"/>
          <w:kern w:val="0"/>
          <w:sz w:val="36"/>
          <w:szCs w:val="36"/>
          <w:highlight w:val="none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pacing w:val="1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object>
          <v:shape id="_x0000_i1031" o:spt="75" type="#_x0000_t75" style="height:385pt;width:317.95pt;" o:ole="t" filled="f" o:preferrelative="t" stroked="f" coordsize="21600,21600">
            <v:path/>
            <v:fill on="f" focussize="0,0"/>
            <v:stroke on="f"/>
            <v:imagedata r:id="rId12" embosscolor="#FFFFFF" o:title=""/>
            <o:lock v:ext="edit" grouping="f" rotation="f" text="f" aspectratio="t"/>
            <w10:wrap type="none"/>
            <w10:anchorlock/>
          </v:shape>
          <o:OLEObject Type="Embed" ProgID="Visio.Drawing.11" ShapeID="_x0000_i1031" DrawAspect="Content" ObjectID="_1468075726" r:id="rId11"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42FF8"/>
    <w:rsid w:val="17A42FF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emf"/><Relationship Id="rId11" Type="http://schemas.openxmlformats.org/officeDocument/2006/relationships/oleObject" Target="embeddings/oleObject2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2021-01-05T01:09:00Z</dcterms:created>
  <dc:creator>eva</dc:creator>
  <cp:lastModifiedBy>eva</cp:lastModifiedBy>
  <dcterms:modified xsi:type="dcterms:W3CDTF">2021-01-05T01:09:59Z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