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b w:val="0"/>
          <w:bCs w:val="0"/>
          <w:color w:val="auto"/>
          <w:sz w:val="32"/>
          <w:szCs w:val="20"/>
          <w:highlight w:val="none"/>
          <w:lang w:val="en-US" w:eastAsia="zh-CN"/>
        </w:rPr>
      </w:pPr>
      <w:r>
        <w:rPr>
          <w:rFonts w:hint="default" w:ascii="Times New Roman" w:hAnsi="Times New Roman" w:eastAsia="黑体" w:cs="Times New Roman"/>
          <w:b w:val="0"/>
          <w:bCs w:val="0"/>
          <w:color w:val="auto"/>
          <w:sz w:val="32"/>
          <w:szCs w:val="20"/>
          <w:highlight w:val="none"/>
          <w:lang w:val="en-US" w:eastAsia="zh-CN"/>
        </w:rPr>
        <w:t>附件</w:t>
      </w:r>
      <w:r>
        <w:rPr>
          <w:rFonts w:hint="eastAsia" w:eastAsia="黑体" w:cs="Times New Roman"/>
          <w:b w:val="0"/>
          <w:bCs w:val="0"/>
          <w:color w:val="auto"/>
          <w:sz w:val="32"/>
          <w:szCs w:val="20"/>
          <w:highlight w:val="none"/>
          <w:lang w:val="en-US" w:eastAsia="zh-CN"/>
        </w:rPr>
        <w:t>4</w:t>
      </w:r>
      <w:r>
        <w:rPr>
          <w:rFonts w:hint="default" w:ascii="Times New Roman" w:hAnsi="Times New Roman" w:eastAsia="黑体" w:cs="Times New Roman"/>
          <w:b w:val="0"/>
          <w:bCs w:val="0"/>
          <w:color w:val="auto"/>
          <w:sz w:val="32"/>
          <w:szCs w:val="20"/>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before="176" w:beforeLines="30" w:after="292" w:afterLines="50" w:line="700" w:lineRule="exact"/>
        <w:jc w:val="center"/>
        <w:textAlignment w:val="auto"/>
        <w:outlineLvl w:val="9"/>
        <w:rPr>
          <w:rFonts w:hint="default" w:ascii="Times New Roman" w:hAnsi="Times New Roman" w:eastAsia="方正小标宋简体" w:cs="Times New Roman"/>
          <w:color w:val="auto"/>
          <w:sz w:val="36"/>
          <w:szCs w:val="36"/>
          <w:highlight w:val="none"/>
          <w:lang w:val="en-US" w:eastAsia="zh-CN"/>
        </w:rPr>
      </w:pPr>
      <w:r>
        <w:rPr>
          <w:rFonts w:hint="default" w:ascii="Times New Roman" w:hAnsi="Times New Roman" w:eastAsia="方正小标宋简体" w:cs="Times New Roman"/>
          <w:color w:val="auto"/>
          <w:sz w:val="36"/>
          <w:szCs w:val="36"/>
          <w:highlight w:val="none"/>
          <w:lang w:eastAsia="zh-CN"/>
        </w:rPr>
        <w:t>省级</w:t>
      </w:r>
      <w:r>
        <w:rPr>
          <w:rFonts w:hint="default" w:ascii="Times New Roman" w:hAnsi="Times New Roman" w:eastAsia="方正小标宋简体" w:cs="Times New Roman"/>
          <w:color w:val="auto"/>
          <w:sz w:val="36"/>
          <w:szCs w:val="36"/>
          <w:highlight w:val="none"/>
        </w:rPr>
        <w:t>重大疫情救治基地</w:t>
      </w:r>
      <w:r>
        <w:rPr>
          <w:rFonts w:hint="default" w:ascii="Times New Roman" w:hAnsi="Times New Roman" w:eastAsia="方正小标宋简体" w:cs="Times New Roman"/>
          <w:color w:val="auto"/>
          <w:sz w:val="36"/>
          <w:szCs w:val="36"/>
          <w:highlight w:val="none"/>
          <w:lang w:val="en-US" w:eastAsia="zh-CN"/>
        </w:rPr>
        <w:t>建设项目任务表</w:t>
      </w:r>
    </w:p>
    <w:tbl>
      <w:tblPr>
        <w:tblStyle w:val="2"/>
        <w:tblW w:w="94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25"/>
        <w:gridCol w:w="1911"/>
        <w:gridCol w:w="6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6" w:hRule="atLeast"/>
          <w:jc w:val="center"/>
        </w:trPr>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b/>
                <w:bCs/>
                <w:i w:val="0"/>
                <w:color w:val="auto"/>
                <w:sz w:val="24"/>
                <w:szCs w:val="24"/>
                <w:highlight w:val="none"/>
                <w:u w:val="none"/>
              </w:rPr>
            </w:pPr>
            <w:r>
              <w:rPr>
                <w:rFonts w:hint="default" w:ascii="Times New Roman" w:hAnsi="Times New Roman" w:eastAsia="仿宋_GB2312" w:cs="Times New Roman"/>
                <w:b/>
                <w:bCs/>
                <w:i w:val="0"/>
                <w:color w:val="auto"/>
                <w:kern w:val="0"/>
                <w:sz w:val="24"/>
                <w:szCs w:val="24"/>
                <w:highlight w:val="none"/>
                <w:u w:val="none"/>
                <w:lang w:val="en-US" w:eastAsia="zh-CN" w:bidi="ar"/>
              </w:rPr>
              <w:t>类别</w:t>
            </w:r>
          </w:p>
        </w:tc>
        <w:tc>
          <w:tcPr>
            <w:tcW w:w="82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b/>
                <w:bCs/>
                <w:i w:val="0"/>
                <w:color w:val="auto"/>
                <w:sz w:val="24"/>
                <w:szCs w:val="24"/>
                <w:highlight w:val="none"/>
                <w:u w:val="none"/>
              </w:rPr>
            </w:pPr>
            <w:r>
              <w:rPr>
                <w:rFonts w:hint="default" w:ascii="Times New Roman" w:hAnsi="Times New Roman" w:eastAsia="仿宋_GB2312" w:cs="Times New Roman"/>
                <w:b/>
                <w:bCs/>
                <w:i w:val="0"/>
                <w:color w:val="auto"/>
                <w:kern w:val="0"/>
                <w:sz w:val="24"/>
                <w:szCs w:val="24"/>
                <w:highlight w:val="none"/>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89" w:hRule="atLeast"/>
          <w:jc w:val="center"/>
        </w:trPr>
        <w:tc>
          <w:tcPr>
            <w:tcW w:w="122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b/>
                <w:bCs/>
                <w:i w:val="0"/>
                <w:color w:val="auto"/>
                <w:sz w:val="24"/>
                <w:szCs w:val="24"/>
                <w:highlight w:val="none"/>
                <w:u w:val="none"/>
                <w:lang w:val="en-US"/>
              </w:rPr>
            </w:pPr>
            <w:r>
              <w:rPr>
                <w:rFonts w:hint="default" w:ascii="Times New Roman" w:hAnsi="Times New Roman" w:eastAsia="仿宋_GB2312" w:cs="Times New Roman"/>
                <w:b/>
                <w:bCs/>
                <w:i w:val="0"/>
                <w:color w:val="auto"/>
                <w:kern w:val="0"/>
                <w:sz w:val="24"/>
                <w:szCs w:val="24"/>
                <w:highlight w:val="none"/>
                <w:u w:val="none"/>
                <w:lang w:val="en-US" w:eastAsia="zh-CN" w:bidi="ar"/>
              </w:rPr>
              <w:t>项目目标</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总 目 标</w:t>
            </w:r>
          </w:p>
        </w:tc>
        <w:tc>
          <w:tcPr>
            <w:tcW w:w="6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依托综合实力强，特别是感染性疾病、呼吸、重症等专科优势突出的高水平医院（含中医医院），按照人口规模、辐射区域和疫情防控压力，结合国家应急队伍建设，在省内建设3所重大疫情救治基地，承担危重症患者集中救治和应急物资集中储备任务，能够在重大疫情发生时快速反应，有效提升危重症患者治愈率、降低病亡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0" w:hRule="atLeast"/>
          <w:jc w:val="center"/>
        </w:trPr>
        <w:tc>
          <w:tcPr>
            <w:tcW w:w="122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b/>
                <w:bCs/>
                <w:i w:val="0"/>
                <w:color w:val="auto"/>
                <w:sz w:val="24"/>
                <w:szCs w:val="24"/>
                <w:highlight w:val="none"/>
                <w:u w:val="none"/>
                <w:lang w:val="en-US"/>
              </w:rPr>
            </w:pPr>
          </w:p>
        </w:tc>
        <w:tc>
          <w:tcPr>
            <w:tcW w:w="1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b w:val="0"/>
                <w:bCs w:val="0"/>
                <w:i w:val="0"/>
                <w:color w:val="auto"/>
                <w:sz w:val="24"/>
                <w:szCs w:val="24"/>
                <w:highlight w:val="none"/>
                <w:u w:val="none"/>
                <w:lang w:val="en-US"/>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年度目标</w:t>
            </w:r>
          </w:p>
        </w:tc>
        <w:tc>
          <w:tcPr>
            <w:tcW w:w="6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2021年前，</w:t>
            </w:r>
            <w:r>
              <w:rPr>
                <w:rFonts w:hint="default" w:ascii="Times New Roman" w:hAnsi="Times New Roman" w:eastAsia="仿宋_GB2312" w:cs="Times New Roman"/>
                <w:i w:val="0"/>
                <w:color w:val="auto"/>
                <w:kern w:val="0"/>
                <w:sz w:val="24"/>
                <w:szCs w:val="24"/>
                <w:highlight w:val="none"/>
                <w:u w:val="none"/>
                <w:lang w:val="en-US" w:eastAsia="zh-CN" w:bidi="ar"/>
              </w:rPr>
              <w:t>3所省级重大疫情救治基地完成改造升级。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77" w:hRule="atLeast"/>
          <w:jc w:val="center"/>
        </w:trPr>
        <w:tc>
          <w:tcPr>
            <w:tcW w:w="12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b/>
                <w:bCs/>
                <w:i w:val="0"/>
                <w:color w:val="auto"/>
                <w:sz w:val="24"/>
                <w:szCs w:val="24"/>
                <w:highlight w:val="none"/>
                <w:u w:val="none"/>
              </w:rPr>
            </w:pPr>
            <w:r>
              <w:rPr>
                <w:rFonts w:hint="default" w:ascii="Times New Roman" w:hAnsi="Times New Roman" w:eastAsia="仿宋_GB2312" w:cs="Times New Roman"/>
                <w:b/>
                <w:bCs/>
                <w:i w:val="0"/>
                <w:color w:val="auto"/>
                <w:kern w:val="0"/>
                <w:sz w:val="24"/>
                <w:szCs w:val="24"/>
                <w:highlight w:val="none"/>
                <w:u w:val="none"/>
                <w:lang w:val="en-US" w:eastAsia="zh-CN" w:bidi="ar"/>
              </w:rPr>
              <w:t>工作任务</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加强重症监护病区（ICU)建设</w:t>
            </w:r>
          </w:p>
        </w:tc>
        <w:tc>
          <w:tcPr>
            <w:tcW w:w="6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1.设置重症监护病床（按医院编制床位10%-15%）；2.设置负压病房和负压手术室；3.配置心肺复苏、呼吸机、ECMO等必要医疗设备。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仿宋_GB2312" w:cs="Times New Roman"/>
                <w:b w:val="0"/>
                <w:bCs w:val="0"/>
                <w:i w:val="0"/>
                <w:color w:val="auto"/>
                <w:sz w:val="24"/>
                <w:szCs w:val="24"/>
                <w:highlight w:val="none"/>
                <w:u w:val="none"/>
              </w:rPr>
            </w:pPr>
          </w:p>
        </w:tc>
        <w:tc>
          <w:tcPr>
            <w:tcW w:w="1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建设可转换病区</w:t>
            </w:r>
          </w:p>
        </w:tc>
        <w:tc>
          <w:tcPr>
            <w:tcW w:w="6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1.按战时状态下达到三区两通道的防护要求改造现有病区和影像检查用房；2.按重症集中收治中心要求改造水电气。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5"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仿宋_GB2312" w:cs="Times New Roman"/>
                <w:b w:val="0"/>
                <w:bCs w:val="0"/>
                <w:i w:val="0"/>
                <w:color w:val="auto"/>
                <w:sz w:val="24"/>
                <w:szCs w:val="24"/>
                <w:highlight w:val="none"/>
                <w:u w:val="none"/>
              </w:rPr>
            </w:pPr>
          </w:p>
        </w:tc>
        <w:tc>
          <w:tcPr>
            <w:tcW w:w="1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改善呼吸、感染等专科设施条件</w:t>
            </w:r>
          </w:p>
        </w:tc>
        <w:tc>
          <w:tcPr>
            <w:tcW w:w="6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鼓励设置独立病区或院区，重点加强检验、发热门诊等业务用房建设；2.设置门急诊观察窗（按医院床位2%-3%)；3.建设科研、教学用房；4.加强血液保障能力建设，配备相关设备；5.加强专业人才队伍建设和能力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71"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仿宋_GB2312" w:cs="Times New Roman"/>
                <w:b w:val="0"/>
                <w:bCs w:val="0"/>
                <w:i w:val="0"/>
                <w:color w:val="auto"/>
                <w:sz w:val="24"/>
                <w:szCs w:val="24"/>
                <w:highlight w:val="none"/>
                <w:u w:val="none"/>
              </w:rPr>
            </w:pPr>
          </w:p>
        </w:tc>
        <w:tc>
          <w:tcPr>
            <w:tcW w:w="1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提升公共卫生检验检测、科研和紧急医学救援能力</w:t>
            </w:r>
          </w:p>
        </w:tc>
        <w:tc>
          <w:tcPr>
            <w:tcW w:w="6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1.建设达到生物安全二级或三级水平的实验室、PCR实验室、传染病解剖室等；2.加强紧急医学救援快速反应装备配置。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8" w:hRule="atLeast"/>
          <w:jc w:val="center"/>
        </w:trPr>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仿宋_GB2312" w:cs="Times New Roman"/>
                <w:b w:val="0"/>
                <w:bCs w:val="0"/>
                <w:i w:val="0"/>
                <w:color w:val="auto"/>
                <w:sz w:val="24"/>
                <w:szCs w:val="24"/>
                <w:highlight w:val="none"/>
                <w:u w:val="none"/>
              </w:rPr>
            </w:pPr>
          </w:p>
        </w:tc>
        <w:tc>
          <w:tcPr>
            <w:tcW w:w="1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加强应急救治物资储备</w:t>
            </w:r>
          </w:p>
        </w:tc>
        <w:tc>
          <w:tcPr>
            <w:tcW w:w="6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储备一定数量的重症患者救治、普通患者监护、方舱医院设备等方面物资。</w:t>
            </w:r>
          </w:p>
        </w:tc>
      </w:tr>
    </w:tbl>
    <w:p>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C5723"/>
    <w:rsid w:val="45CA5A85"/>
    <w:rsid w:val="4C4C5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2020-12-31T01:48:00Z</dcterms:created>
  <dc:creator>eva</dc:creator>
  <cp:lastModifiedBy>eva</cp:lastModifiedBy>
  <dcterms:modified xsi:type="dcterms:W3CDTF">2020-12-31T01:48:55Z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