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3</w:t>
      </w:r>
      <w:r>
        <w:rPr>
          <w:rFonts w:hint="default" w:ascii="Times New Roman" w:hAnsi="Times New Roman" w:eastAsia="黑体" w:cs="Times New Roman"/>
          <w:color w:val="auto"/>
          <w:sz w:val="32"/>
          <w:szCs w:val="32"/>
          <w:highlight w:val="none"/>
        </w:rPr>
        <w:t>-1</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color w:val="auto"/>
          <w:highlight w:val="none"/>
        </w:rPr>
      </w:pPr>
    </w:p>
    <w:p>
      <w:pPr>
        <w:pStyle w:val="2"/>
        <w:keepNext w:val="0"/>
        <w:keepLines w:val="0"/>
        <w:pageBreakBefore w:val="0"/>
        <w:widowControl w:val="0"/>
        <w:kinsoku/>
        <w:wordWrap/>
        <w:overflowPunct/>
        <w:topLinePunct w:val="0"/>
        <w:autoSpaceDE/>
        <w:autoSpaceDN/>
        <w:bidi w:val="0"/>
        <w:adjustRightInd/>
        <w:snapToGrid/>
        <w:spacing w:after="0" w:afterLines="0" w:line="700" w:lineRule="exact"/>
        <w:jc w:val="center"/>
        <w:textAlignment w:val="auto"/>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城市传染病救治网络建设项目目标任务表</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Times New Roman" w:hAnsi="Times New Roman" w:eastAsia="方正小标宋简体" w:cs="Times New Roman"/>
          <w:color w:val="auto"/>
          <w:sz w:val="36"/>
          <w:szCs w:val="36"/>
          <w:highlight w:val="none"/>
        </w:rPr>
      </w:pPr>
    </w:p>
    <w:tbl>
      <w:tblPr>
        <w:tblStyle w:val="3"/>
        <w:tblW w:w="8940" w:type="dxa"/>
        <w:jc w:val="center"/>
        <w:tblInd w:w="0" w:type="dxa"/>
        <w:tblLayout w:type="fixed"/>
        <w:tblCellMar>
          <w:top w:w="15" w:type="dxa"/>
          <w:left w:w="15" w:type="dxa"/>
          <w:bottom w:w="15" w:type="dxa"/>
          <w:right w:w="15" w:type="dxa"/>
        </w:tblCellMar>
      </w:tblPr>
      <w:tblGrid>
        <w:gridCol w:w="736"/>
        <w:gridCol w:w="1175"/>
        <w:gridCol w:w="1034"/>
        <w:gridCol w:w="5995"/>
      </w:tblGrid>
      <w:tr>
        <w:tblPrEx>
          <w:tblLayout w:type="fixed"/>
          <w:tblCellMar>
            <w:top w:w="15" w:type="dxa"/>
            <w:left w:w="15" w:type="dxa"/>
            <w:bottom w:w="15" w:type="dxa"/>
            <w:right w:w="15" w:type="dxa"/>
          </w:tblCellMar>
        </w:tblPrEx>
        <w:trPr>
          <w:trHeight w:val="48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0"/>
                <w:sz w:val="24"/>
                <w:szCs w:val="24"/>
                <w:highlight w:val="none"/>
                <w:lang w:bidi="ar"/>
              </w:rPr>
              <w:t>类别</w:t>
            </w:r>
          </w:p>
        </w:tc>
        <w:tc>
          <w:tcPr>
            <w:tcW w:w="820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0"/>
                <w:sz w:val="24"/>
                <w:szCs w:val="24"/>
                <w:highlight w:val="none"/>
                <w:lang w:bidi="ar"/>
              </w:rPr>
              <w:t>内容</w:t>
            </w:r>
          </w:p>
        </w:tc>
      </w:tr>
      <w:tr>
        <w:tblPrEx>
          <w:tblLayout w:type="fixed"/>
          <w:tblCellMar>
            <w:top w:w="15" w:type="dxa"/>
            <w:left w:w="15" w:type="dxa"/>
            <w:bottom w:w="15" w:type="dxa"/>
            <w:right w:w="15" w:type="dxa"/>
          </w:tblCellMar>
        </w:tblPrEx>
        <w:trPr>
          <w:trHeight w:val="1517"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0"/>
                <w:sz w:val="24"/>
                <w:szCs w:val="24"/>
                <w:highlight w:val="none"/>
                <w:lang w:bidi="ar"/>
              </w:rPr>
              <w:t>项目目标</w:t>
            </w:r>
          </w:p>
        </w:tc>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总 目 标</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以</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bidi="ar"/>
              </w:rPr>
              <w:t>平战结合、分层分类、高效协作</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bidi="ar"/>
              </w:rPr>
              <w:t>为原则。构建分级分层分流的城市传染病救治网络。地级以上市建有传染病医院或相对独立的综合性医院传染病区；人口较少地市指定具备条件的三级综合性医院作为传染病定点收治医院，实现100%达标。</w:t>
            </w:r>
          </w:p>
        </w:tc>
      </w:tr>
      <w:tr>
        <w:tblPrEx>
          <w:tblLayout w:type="fixed"/>
          <w:tblCellMar>
            <w:top w:w="15" w:type="dxa"/>
            <w:left w:w="15" w:type="dxa"/>
            <w:bottom w:w="15" w:type="dxa"/>
            <w:right w:w="15" w:type="dxa"/>
          </w:tblCellMar>
        </w:tblPrEx>
        <w:trPr>
          <w:trHeight w:val="992"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color w:val="auto"/>
                <w:sz w:val="24"/>
                <w:szCs w:val="24"/>
                <w:highlight w:val="none"/>
              </w:rPr>
            </w:pPr>
          </w:p>
        </w:tc>
        <w:tc>
          <w:tcPr>
            <w:tcW w:w="11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年度目标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2020年</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bidi="ar"/>
              </w:rPr>
              <w:t>所有承担传染病收治任务的地市级及以上医院全部具备核酸检测能力；二级以上综合医院全面完成发热门诊规范化改造提升。</w:t>
            </w:r>
            <w:r>
              <w:rPr>
                <w:rFonts w:hint="default" w:ascii="Times New Roman" w:hAnsi="Times New Roman" w:eastAsia="仿宋_GB2312" w:cs="Times New Roman"/>
                <w:color w:val="auto"/>
                <w:kern w:val="0"/>
                <w:sz w:val="24"/>
                <w:szCs w:val="24"/>
                <w:highlight w:val="none"/>
                <w:lang w:val="en-US" w:eastAsia="zh-CN" w:bidi="ar"/>
              </w:rPr>
              <w:t>完成省公共卫生医学中心建设项目前期工作。</w:t>
            </w:r>
          </w:p>
        </w:tc>
      </w:tr>
      <w:tr>
        <w:tblPrEx>
          <w:tblLayout w:type="fixed"/>
          <w:tblCellMar>
            <w:top w:w="15" w:type="dxa"/>
            <w:left w:w="15" w:type="dxa"/>
            <w:bottom w:w="15" w:type="dxa"/>
            <w:right w:w="15" w:type="dxa"/>
          </w:tblCellMar>
        </w:tblPrEx>
        <w:trPr>
          <w:trHeight w:val="782"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color w:val="auto"/>
                <w:sz w:val="24"/>
                <w:szCs w:val="24"/>
                <w:highlight w:val="none"/>
              </w:rPr>
            </w:pPr>
          </w:p>
        </w:tc>
        <w:tc>
          <w:tcPr>
            <w:tcW w:w="11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2021年</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在年中基本完成可转换传染病区和重症监护病区（ICU）建设任务。</w:t>
            </w:r>
          </w:p>
        </w:tc>
      </w:tr>
      <w:tr>
        <w:tblPrEx>
          <w:tblLayout w:type="fixed"/>
          <w:tblCellMar>
            <w:top w:w="15" w:type="dxa"/>
            <w:left w:w="15" w:type="dxa"/>
            <w:bottom w:w="15" w:type="dxa"/>
            <w:right w:w="15" w:type="dxa"/>
          </w:tblCellMar>
        </w:tblPrEx>
        <w:trPr>
          <w:trHeight w:val="72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color w:val="auto"/>
                <w:sz w:val="24"/>
                <w:szCs w:val="24"/>
                <w:highlight w:val="none"/>
              </w:rPr>
            </w:pPr>
          </w:p>
        </w:tc>
        <w:tc>
          <w:tcPr>
            <w:tcW w:w="11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2022年</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全面完成城市传染病救治网络建设任务</w:t>
            </w:r>
          </w:p>
        </w:tc>
      </w:tr>
      <w:tr>
        <w:tblPrEx>
          <w:tblLayout w:type="fixed"/>
          <w:tblCellMar>
            <w:top w:w="15" w:type="dxa"/>
            <w:left w:w="15" w:type="dxa"/>
            <w:bottom w:w="15" w:type="dxa"/>
            <w:right w:w="15" w:type="dxa"/>
          </w:tblCellMar>
        </w:tblPrEx>
        <w:trPr>
          <w:trHeight w:val="2424"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0"/>
                <w:sz w:val="24"/>
                <w:szCs w:val="24"/>
                <w:highlight w:val="none"/>
                <w:lang w:bidi="ar"/>
              </w:rPr>
              <w:t>工作任务</w:t>
            </w:r>
          </w:p>
        </w:tc>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扩大传染病集中收治容量</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1.加强基础设施建设和设备升级；</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bidi="ar"/>
              </w:rPr>
              <w:t>三区两通道</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bidi="ar"/>
              </w:rPr>
              <w:t>；</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2.配置负压救护车、负压担架；</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3.强化物质储备；</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4.适度预留应急场地和改造空间；</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5.配套建设医疗废弃物和污水处置设施。</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每个城市选择1-2所医疗机构改扩建：市区人口100万以下，60-100张；100-500万，100-600张；500万以上，不少于600张。达到救治条件的地区，不再建设。</w:t>
            </w:r>
          </w:p>
        </w:tc>
      </w:tr>
      <w:tr>
        <w:tblPrEx>
          <w:tblLayout w:type="fixed"/>
          <w:tblCellMar>
            <w:top w:w="15" w:type="dxa"/>
            <w:left w:w="15" w:type="dxa"/>
            <w:bottom w:w="15" w:type="dxa"/>
            <w:right w:w="15" w:type="dxa"/>
          </w:tblCellMar>
        </w:tblPrEx>
        <w:trPr>
          <w:trHeight w:val="862"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szCs w:val="24"/>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加强ICU建设</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1.配置床旁监护系统、呼吸机、ECMO等相关设备；</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2.ICU床位占比达到医院编制床位的5－10%。</w:t>
            </w:r>
          </w:p>
        </w:tc>
      </w:tr>
      <w:tr>
        <w:tblPrEx>
          <w:tblLayout w:type="fixed"/>
          <w:tblCellMar>
            <w:top w:w="15" w:type="dxa"/>
            <w:left w:w="15" w:type="dxa"/>
            <w:bottom w:w="15" w:type="dxa"/>
            <w:right w:w="15" w:type="dxa"/>
          </w:tblCellMar>
        </w:tblPrEx>
        <w:trPr>
          <w:trHeight w:val="862"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szCs w:val="24"/>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提高传染病检验检测能力</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1.配备PCR等检测设备；</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2.建立达到生安全二级（P2）水平的实验室。</w:t>
            </w:r>
          </w:p>
        </w:tc>
      </w:tr>
      <w:tr>
        <w:tblPrEx>
          <w:tblLayout w:type="fixed"/>
          <w:tblCellMar>
            <w:top w:w="15" w:type="dxa"/>
            <w:left w:w="15" w:type="dxa"/>
            <w:bottom w:w="15" w:type="dxa"/>
            <w:right w:w="15" w:type="dxa"/>
          </w:tblCellMar>
        </w:tblPrEx>
        <w:trPr>
          <w:trHeight w:val="895"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szCs w:val="24"/>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加强中医药科室建设</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1.按标准设置中医药科室；</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2.提升中西医结合防治传染病能力。</w:t>
            </w:r>
          </w:p>
        </w:tc>
      </w:tr>
    </w:tbl>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17CF8"/>
    <w:rsid w:val="17517CF8"/>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 w:val="32"/>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2020-12-31T01:47:00Z</dcterms:created>
  <dc:creator>eva</dc:creator>
  <cp:lastModifiedBy>eva</cp:lastModifiedBy>
  <dcterms:modified xsi:type="dcterms:W3CDTF">2020-12-31T01:48:11Z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