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W w:w="1444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9"/>
        <w:gridCol w:w="1670"/>
        <w:gridCol w:w="1259"/>
        <w:gridCol w:w="1103"/>
        <w:gridCol w:w="1763"/>
        <w:gridCol w:w="3970"/>
        <w:gridCol w:w="1255"/>
        <w:gridCol w:w="1094"/>
        <w:gridCol w:w="1008"/>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jc w:val="center"/>
        </w:trPr>
        <w:tc>
          <w:tcPr>
            <w:tcW w:w="2059" w:type="dxa"/>
            <w:gridSpan w:val="2"/>
            <w:tcBorders>
              <w:top w:val="nil"/>
              <w:left w:val="nil"/>
              <w:bottom w:val="nil"/>
              <w:right w:val="nil"/>
            </w:tcBorders>
            <w:noWrap w:val="0"/>
            <w:tcMar>
              <w:top w:w="12" w:type="dxa"/>
              <w:left w:w="12" w:type="dxa"/>
              <w:right w:w="12" w:type="dxa"/>
            </w:tcMar>
            <w:vAlign w:val="bottom"/>
          </w:tcPr>
          <w:p>
            <w:pPr>
              <w:rPr>
                <w:rFonts w:hint="default" w:ascii="Times New Roman" w:hAnsi="Times New Roman" w:eastAsia="黑体" w:cs="Times New Roman"/>
                <w:i w:val="0"/>
                <w:color w:val="000000"/>
                <w:sz w:val="32"/>
                <w:szCs w:val="32"/>
                <w:u w:val="none"/>
              </w:rPr>
            </w:pPr>
          </w:p>
        </w:tc>
        <w:tc>
          <w:tcPr>
            <w:tcW w:w="2362" w:type="dxa"/>
            <w:gridSpan w:val="2"/>
            <w:tcBorders>
              <w:top w:val="nil"/>
              <w:left w:val="nil"/>
              <w:bottom w:val="nil"/>
              <w:right w:val="nil"/>
            </w:tcBorders>
            <w:noWrap w:val="0"/>
            <w:tcMar>
              <w:top w:w="12" w:type="dxa"/>
              <w:left w:w="12" w:type="dxa"/>
              <w:right w:w="12" w:type="dxa"/>
            </w:tcMar>
            <w:vAlign w:val="bottom"/>
          </w:tcPr>
          <w:p>
            <w:pPr>
              <w:rPr>
                <w:rFonts w:hint="default" w:ascii="Times New Roman" w:hAnsi="Times New Roman" w:eastAsia="黑体" w:cs="Times New Roman"/>
                <w:i w:val="0"/>
                <w:color w:val="000000"/>
                <w:sz w:val="32"/>
                <w:szCs w:val="32"/>
                <w:u w:val="none"/>
              </w:rPr>
            </w:pPr>
          </w:p>
        </w:tc>
        <w:tc>
          <w:tcPr>
            <w:tcW w:w="1763" w:type="dxa"/>
            <w:tcBorders>
              <w:top w:val="nil"/>
              <w:left w:val="nil"/>
              <w:bottom w:val="nil"/>
              <w:right w:val="nil"/>
            </w:tcBorders>
            <w:noWrap w:val="0"/>
            <w:tcMar>
              <w:top w:w="12" w:type="dxa"/>
              <w:left w:w="12" w:type="dxa"/>
              <w:right w:w="12" w:type="dxa"/>
            </w:tcMar>
            <w:vAlign w:val="bottom"/>
          </w:tcPr>
          <w:p>
            <w:pPr>
              <w:rPr>
                <w:rFonts w:hint="default" w:ascii="Times New Roman" w:hAnsi="Times New Roman" w:eastAsia="宋体" w:cs="Times New Roman"/>
                <w:i w:val="0"/>
                <w:color w:val="000000"/>
                <w:sz w:val="22"/>
                <w:szCs w:val="22"/>
                <w:u w:val="none"/>
              </w:rPr>
            </w:pPr>
          </w:p>
        </w:tc>
        <w:tc>
          <w:tcPr>
            <w:tcW w:w="3970" w:type="dxa"/>
            <w:tcBorders>
              <w:top w:val="nil"/>
              <w:left w:val="nil"/>
              <w:bottom w:val="nil"/>
              <w:right w:val="nil"/>
            </w:tcBorders>
            <w:noWrap w:val="0"/>
            <w:tcMar>
              <w:top w:w="12" w:type="dxa"/>
              <w:left w:w="12" w:type="dxa"/>
              <w:right w:w="12" w:type="dxa"/>
            </w:tcMar>
            <w:vAlign w:val="bottom"/>
          </w:tcPr>
          <w:p>
            <w:pPr>
              <w:rPr>
                <w:rFonts w:hint="default" w:ascii="Times New Roman" w:hAnsi="Times New Roman" w:eastAsia="宋体" w:cs="Times New Roman"/>
                <w:i w:val="0"/>
                <w:color w:val="000000"/>
                <w:sz w:val="22"/>
                <w:szCs w:val="22"/>
                <w:u w:val="none"/>
              </w:rPr>
            </w:pPr>
          </w:p>
        </w:tc>
        <w:tc>
          <w:tcPr>
            <w:tcW w:w="1255" w:type="dxa"/>
            <w:tcBorders>
              <w:top w:val="nil"/>
              <w:left w:val="nil"/>
              <w:bottom w:val="nil"/>
              <w:right w:val="nil"/>
            </w:tcBorders>
            <w:noWrap w:val="0"/>
            <w:tcMar>
              <w:top w:w="12" w:type="dxa"/>
              <w:left w:w="12" w:type="dxa"/>
              <w:right w:w="12" w:type="dxa"/>
            </w:tcMar>
            <w:vAlign w:val="bottom"/>
          </w:tcPr>
          <w:p>
            <w:pPr>
              <w:rPr>
                <w:rFonts w:hint="default" w:ascii="Times New Roman" w:hAnsi="Times New Roman" w:eastAsia="宋体" w:cs="Times New Roman"/>
                <w:i w:val="0"/>
                <w:color w:val="000000"/>
                <w:sz w:val="22"/>
                <w:szCs w:val="22"/>
                <w:u w:val="none"/>
              </w:rPr>
            </w:pPr>
          </w:p>
        </w:tc>
        <w:tc>
          <w:tcPr>
            <w:tcW w:w="1094" w:type="dxa"/>
            <w:tcBorders>
              <w:top w:val="nil"/>
              <w:left w:val="nil"/>
              <w:bottom w:val="nil"/>
              <w:right w:val="nil"/>
            </w:tcBorders>
            <w:noWrap w:val="0"/>
            <w:tcMar>
              <w:top w:w="12" w:type="dxa"/>
              <w:left w:w="12" w:type="dxa"/>
              <w:right w:w="12" w:type="dxa"/>
            </w:tcMar>
            <w:vAlign w:val="bottom"/>
          </w:tcPr>
          <w:p>
            <w:pPr>
              <w:rPr>
                <w:rFonts w:hint="default" w:ascii="Times New Roman" w:hAnsi="Times New Roman" w:eastAsia="宋体" w:cs="Times New Roman"/>
                <w:i w:val="0"/>
                <w:color w:val="000000"/>
                <w:sz w:val="22"/>
                <w:szCs w:val="22"/>
                <w:u w:val="none"/>
              </w:rPr>
            </w:pPr>
          </w:p>
        </w:tc>
        <w:tc>
          <w:tcPr>
            <w:tcW w:w="1008" w:type="dxa"/>
            <w:tcBorders>
              <w:top w:val="nil"/>
              <w:left w:val="nil"/>
              <w:bottom w:val="nil"/>
              <w:right w:val="nil"/>
            </w:tcBorders>
            <w:noWrap w:val="0"/>
            <w:tcMar>
              <w:top w:w="12" w:type="dxa"/>
              <w:left w:w="12" w:type="dxa"/>
              <w:right w:w="12" w:type="dxa"/>
            </w:tcMar>
            <w:vAlign w:val="bottom"/>
          </w:tcPr>
          <w:p>
            <w:pPr>
              <w:rPr>
                <w:rFonts w:hint="default" w:ascii="Times New Roman" w:hAnsi="Times New Roman" w:eastAsia="宋体" w:cs="Times New Roman"/>
                <w:i w:val="0"/>
                <w:color w:val="000000"/>
                <w:sz w:val="22"/>
                <w:szCs w:val="22"/>
                <w:u w:val="none"/>
              </w:rPr>
            </w:pPr>
          </w:p>
        </w:tc>
        <w:tc>
          <w:tcPr>
            <w:tcW w:w="937" w:type="dxa"/>
            <w:tcBorders>
              <w:top w:val="nil"/>
              <w:left w:val="nil"/>
              <w:bottom w:val="nil"/>
              <w:right w:val="nil"/>
            </w:tcBorders>
            <w:noWrap w:val="0"/>
            <w:tcMar>
              <w:top w:w="12" w:type="dxa"/>
              <w:left w:w="12" w:type="dxa"/>
              <w:right w:w="12" w:type="dxa"/>
            </w:tcMar>
            <w:vAlign w:val="bottom"/>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0" w:hRule="atLeast"/>
          <w:jc w:val="center"/>
        </w:trPr>
        <w:tc>
          <w:tcPr>
            <w:tcW w:w="14448" w:type="dxa"/>
            <w:gridSpan w:val="10"/>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center"/>
              <w:rPr>
                <w:rFonts w:hint="default" w:ascii="Times New Roman" w:hAnsi="Times New Roman" w:eastAsia="方正小标宋_GBK" w:cs="Times New Roman"/>
                <w:i w:val="0"/>
                <w:color w:val="000000"/>
                <w:sz w:val="44"/>
                <w:szCs w:val="44"/>
                <w:u w:val="none"/>
              </w:rPr>
            </w:pPr>
            <w:bookmarkStart w:id="0" w:name="_GoBack"/>
            <w:r>
              <w:rPr>
                <w:rFonts w:hint="default" w:ascii="Times New Roman" w:hAnsi="Times New Roman" w:eastAsia="方正小标宋简体" w:cs="Times New Roman"/>
                <w:i w:val="0"/>
                <w:color w:val="000000"/>
                <w:kern w:val="0"/>
                <w:sz w:val="44"/>
                <w:szCs w:val="44"/>
                <w:u w:val="none"/>
                <w:lang w:val="en-US" w:eastAsia="zh-CN" w:bidi="ar"/>
              </w:rPr>
              <w:t>广东卫生健康系统行政审批中介服务事项清单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7" w:hRule="atLeast"/>
          <w:jc w:val="center"/>
        </w:trPr>
        <w:tc>
          <w:tcPr>
            <w:tcW w:w="3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序号</w:t>
            </w:r>
          </w:p>
        </w:tc>
        <w:tc>
          <w:tcPr>
            <w:tcW w:w="16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中介服务事项</w:t>
            </w:r>
            <w:r>
              <w:rPr>
                <w:rFonts w:hint="default" w:ascii="Times New Roman" w:hAnsi="Times New Roman" w:eastAsia="黑体" w:cs="Times New Roman"/>
                <w:i w:val="0"/>
                <w:color w:val="000000"/>
                <w:kern w:val="0"/>
                <w:sz w:val="20"/>
                <w:szCs w:val="20"/>
                <w:u w:val="none"/>
                <w:lang w:val="en-US" w:eastAsia="zh-CN" w:bidi="ar"/>
              </w:rPr>
              <w:br w:type="textWrapping"/>
            </w:r>
            <w:r>
              <w:rPr>
                <w:rFonts w:hint="default" w:ascii="Times New Roman" w:hAnsi="Times New Roman" w:eastAsia="黑体" w:cs="Times New Roman"/>
                <w:i w:val="0"/>
                <w:color w:val="000000"/>
                <w:kern w:val="0"/>
                <w:sz w:val="20"/>
                <w:szCs w:val="20"/>
                <w:u w:val="none"/>
                <w:lang w:val="en-US" w:eastAsia="zh-CN" w:bidi="ar"/>
              </w:rPr>
              <w:t>名称</w:t>
            </w:r>
          </w:p>
        </w:tc>
        <w:tc>
          <w:tcPr>
            <w:tcW w:w="12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涉及的行政审批事项名称</w:t>
            </w:r>
          </w:p>
        </w:tc>
        <w:tc>
          <w:tcPr>
            <w:tcW w:w="11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涉及的行政审批事项类型</w:t>
            </w:r>
          </w:p>
        </w:tc>
        <w:tc>
          <w:tcPr>
            <w:tcW w:w="17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涉及的行政审批事项办理材料</w:t>
            </w:r>
            <w:r>
              <w:rPr>
                <w:rFonts w:hint="default" w:ascii="Times New Roman" w:hAnsi="Times New Roman" w:eastAsia="黑体" w:cs="Times New Roman"/>
                <w:i w:val="0"/>
                <w:color w:val="000000"/>
                <w:kern w:val="0"/>
                <w:sz w:val="20"/>
                <w:szCs w:val="20"/>
                <w:u w:val="none"/>
                <w:lang w:val="en-US" w:eastAsia="zh-CN" w:bidi="ar"/>
              </w:rPr>
              <w:br w:type="textWrapping"/>
            </w:r>
            <w:r>
              <w:rPr>
                <w:rFonts w:hint="default" w:ascii="Times New Roman" w:hAnsi="Times New Roman" w:eastAsia="黑体" w:cs="Times New Roman"/>
                <w:i w:val="0"/>
                <w:color w:val="000000"/>
                <w:kern w:val="0"/>
                <w:sz w:val="20"/>
                <w:szCs w:val="20"/>
                <w:u w:val="none"/>
                <w:lang w:val="en-US" w:eastAsia="zh-CN" w:bidi="ar"/>
              </w:rPr>
              <w:t>名称</w:t>
            </w:r>
          </w:p>
        </w:tc>
        <w:tc>
          <w:tcPr>
            <w:tcW w:w="39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中介服务</w:t>
            </w:r>
            <w:r>
              <w:rPr>
                <w:rFonts w:hint="default" w:ascii="Times New Roman" w:hAnsi="Times New Roman" w:eastAsia="黑体" w:cs="Times New Roman"/>
                <w:i w:val="0"/>
                <w:color w:val="000000"/>
                <w:kern w:val="0"/>
                <w:sz w:val="20"/>
                <w:szCs w:val="20"/>
                <w:u w:val="none"/>
                <w:lang w:val="en-US" w:eastAsia="zh-CN" w:bidi="ar"/>
              </w:rPr>
              <w:br w:type="textWrapping"/>
            </w:r>
            <w:r>
              <w:rPr>
                <w:rFonts w:hint="default" w:ascii="Times New Roman" w:hAnsi="Times New Roman" w:eastAsia="黑体" w:cs="Times New Roman"/>
                <w:i w:val="0"/>
                <w:color w:val="000000"/>
                <w:kern w:val="0"/>
                <w:sz w:val="20"/>
                <w:szCs w:val="20"/>
                <w:u w:val="none"/>
                <w:lang w:val="en-US" w:eastAsia="zh-CN" w:bidi="ar"/>
              </w:rPr>
              <w:t>设定依据</w:t>
            </w:r>
          </w:p>
        </w:tc>
        <w:tc>
          <w:tcPr>
            <w:tcW w:w="12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中介服务</w:t>
            </w:r>
            <w:r>
              <w:rPr>
                <w:rFonts w:hint="default" w:ascii="Times New Roman" w:hAnsi="Times New Roman" w:eastAsia="黑体" w:cs="Times New Roman"/>
                <w:i w:val="0"/>
                <w:color w:val="000000"/>
                <w:kern w:val="0"/>
                <w:sz w:val="20"/>
                <w:szCs w:val="20"/>
                <w:u w:val="none"/>
                <w:lang w:val="en-US" w:eastAsia="zh-CN" w:bidi="ar"/>
              </w:rPr>
              <w:br w:type="textWrapping"/>
            </w:r>
            <w:r>
              <w:rPr>
                <w:rFonts w:hint="default" w:ascii="Times New Roman" w:hAnsi="Times New Roman" w:eastAsia="黑体" w:cs="Times New Roman"/>
                <w:i w:val="0"/>
                <w:color w:val="000000"/>
                <w:kern w:val="0"/>
                <w:sz w:val="20"/>
                <w:szCs w:val="20"/>
                <w:u w:val="none"/>
                <w:lang w:val="en-US" w:eastAsia="zh-CN" w:bidi="ar"/>
              </w:rPr>
              <w:t>实施机构</w:t>
            </w:r>
          </w:p>
        </w:tc>
        <w:tc>
          <w:tcPr>
            <w:tcW w:w="10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中介服务</w:t>
            </w:r>
            <w:r>
              <w:rPr>
                <w:rFonts w:hint="default" w:ascii="Times New Roman" w:hAnsi="Times New Roman" w:eastAsia="黑体" w:cs="Times New Roman"/>
                <w:i w:val="0"/>
                <w:color w:val="000000"/>
                <w:kern w:val="0"/>
                <w:sz w:val="20"/>
                <w:szCs w:val="20"/>
                <w:u w:val="none"/>
                <w:lang w:val="en-US" w:eastAsia="zh-CN" w:bidi="ar"/>
              </w:rPr>
              <w:br w:type="textWrapping"/>
            </w:r>
            <w:r>
              <w:rPr>
                <w:rFonts w:hint="default" w:ascii="Times New Roman" w:hAnsi="Times New Roman" w:eastAsia="黑体" w:cs="Times New Roman"/>
                <w:i w:val="0"/>
                <w:color w:val="000000"/>
                <w:kern w:val="0"/>
                <w:sz w:val="20"/>
                <w:szCs w:val="20"/>
                <w:u w:val="none"/>
                <w:lang w:val="en-US" w:eastAsia="zh-CN" w:bidi="ar"/>
              </w:rPr>
              <w:t>机构性质</w:t>
            </w:r>
          </w:p>
        </w:tc>
        <w:tc>
          <w:tcPr>
            <w:tcW w:w="1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服务时限</w:t>
            </w:r>
          </w:p>
        </w:tc>
        <w:tc>
          <w:tcPr>
            <w:tcW w:w="9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涉及的行政审批事项实施层级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7" w:hRule="atLeast"/>
          <w:jc w:val="center"/>
        </w:trPr>
        <w:tc>
          <w:tcPr>
            <w:tcW w:w="3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6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消毒产品生产企业生产环境和生产用水检测</w:t>
            </w:r>
          </w:p>
        </w:tc>
        <w:tc>
          <w:tcPr>
            <w:tcW w:w="12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消毒产品生产企业（一次性使用医疗用品的生产企业除外）卫生许可</w:t>
            </w:r>
          </w:p>
        </w:tc>
        <w:tc>
          <w:tcPr>
            <w:tcW w:w="11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行政许可</w:t>
            </w:r>
          </w:p>
        </w:tc>
        <w:tc>
          <w:tcPr>
            <w:tcW w:w="17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生产用水检测报告；申报卫生用品的需提供生产环境检测报告，生产皮肤粘膜消毒剂、抗抑菌制剂（用于洗手的除外）需提供净化车间洁净度的检测报告</w:t>
            </w:r>
          </w:p>
        </w:tc>
        <w:tc>
          <w:tcPr>
            <w:tcW w:w="39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1.《消毒管理办法》（卫生部令2001年第27号修订）第二十条。2.《消毒产品生产企业卫生许可规定》（卫监督发〔2009〕110号）第五条、附件1。</w:t>
            </w:r>
          </w:p>
        </w:tc>
        <w:tc>
          <w:tcPr>
            <w:tcW w:w="12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经过计量认证的检验机构</w:t>
            </w:r>
          </w:p>
        </w:tc>
        <w:tc>
          <w:tcPr>
            <w:tcW w:w="10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事业单位、企业</w:t>
            </w:r>
          </w:p>
        </w:tc>
        <w:tc>
          <w:tcPr>
            <w:tcW w:w="1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333333"/>
                <w:sz w:val="20"/>
                <w:szCs w:val="20"/>
                <w:u w:val="none"/>
              </w:rPr>
            </w:pPr>
            <w:r>
              <w:rPr>
                <w:rFonts w:hint="default" w:ascii="Times New Roman" w:hAnsi="Times New Roman" w:eastAsia="宋体" w:cs="Times New Roman"/>
                <w:i w:val="0"/>
                <w:color w:val="333333"/>
                <w:kern w:val="0"/>
                <w:sz w:val="20"/>
                <w:szCs w:val="20"/>
                <w:u w:val="none"/>
                <w:lang w:val="en-US" w:eastAsia="zh-CN" w:bidi="ar"/>
              </w:rPr>
              <w:t>双方协商约定</w:t>
            </w:r>
          </w:p>
        </w:tc>
        <w:tc>
          <w:tcPr>
            <w:tcW w:w="9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2" w:hRule="atLeast"/>
          <w:jc w:val="center"/>
        </w:trPr>
        <w:tc>
          <w:tcPr>
            <w:tcW w:w="3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出具公共场所卫生检测报告</w:t>
            </w:r>
          </w:p>
        </w:tc>
        <w:tc>
          <w:tcPr>
            <w:tcW w:w="12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公共场所卫生许可</w:t>
            </w:r>
          </w:p>
        </w:tc>
        <w:tc>
          <w:tcPr>
            <w:tcW w:w="11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行政许可</w:t>
            </w:r>
          </w:p>
        </w:tc>
        <w:tc>
          <w:tcPr>
            <w:tcW w:w="17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一年内的卫生检测报告</w:t>
            </w:r>
          </w:p>
        </w:tc>
        <w:tc>
          <w:tcPr>
            <w:tcW w:w="39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1.《广东省人民政府2012年行政审批制度改革事项目录（第一批）》第一点序号113-117、第三点序号57-59</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2.广东省卫生健康委关于全面推开公共场所卫生许可告知承诺制工作的通知第三部分  事中事后监管措施</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3.广东省卫生健康委关于全面推开公共场所卫生许可告知承诺制工作的通知第一部分  工作原则</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4.《公共场所卫生管理条例》第四条</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5.《国务院关于整合调整餐饮服务场所的公共场所卫生许可证和食品经营许可证的决定》第一、二、三点</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6.《国家卫生计生委关于修改〈新食品原料安全性审查管理办法〉等7件部门规章的决定》第一点至第七点</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7.《公共场所卫生管理条例实施细则》第二十二条</w:t>
            </w:r>
          </w:p>
        </w:tc>
        <w:tc>
          <w:tcPr>
            <w:tcW w:w="12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经过计量认证的检验机构</w:t>
            </w:r>
          </w:p>
        </w:tc>
        <w:tc>
          <w:tcPr>
            <w:tcW w:w="10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事业单位、企业</w:t>
            </w:r>
          </w:p>
        </w:tc>
        <w:tc>
          <w:tcPr>
            <w:tcW w:w="1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333333"/>
                <w:sz w:val="20"/>
                <w:szCs w:val="20"/>
                <w:u w:val="none"/>
              </w:rPr>
            </w:pPr>
            <w:r>
              <w:rPr>
                <w:rFonts w:hint="default" w:ascii="Times New Roman" w:hAnsi="Times New Roman" w:eastAsia="宋体" w:cs="Times New Roman"/>
                <w:i w:val="0"/>
                <w:color w:val="333333"/>
                <w:kern w:val="0"/>
                <w:sz w:val="20"/>
                <w:szCs w:val="20"/>
                <w:u w:val="none"/>
                <w:lang w:val="en-US" w:eastAsia="zh-CN" w:bidi="ar"/>
              </w:rPr>
              <w:t>双方协商约定</w:t>
            </w:r>
          </w:p>
        </w:tc>
        <w:tc>
          <w:tcPr>
            <w:tcW w:w="9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市级、县级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4" w:hRule="atLeast"/>
          <w:jc w:val="center"/>
        </w:trPr>
        <w:tc>
          <w:tcPr>
            <w:tcW w:w="3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6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出具消毒产品生产企业的安全评估报告</w:t>
            </w:r>
          </w:p>
        </w:tc>
        <w:tc>
          <w:tcPr>
            <w:tcW w:w="12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消毒产品备案</w:t>
            </w:r>
          </w:p>
        </w:tc>
        <w:tc>
          <w:tcPr>
            <w:tcW w:w="11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其他</w:t>
            </w:r>
          </w:p>
        </w:tc>
        <w:tc>
          <w:tcPr>
            <w:tcW w:w="17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消毒产品卫生安全评价报告</w:t>
            </w:r>
          </w:p>
        </w:tc>
        <w:tc>
          <w:tcPr>
            <w:tcW w:w="39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《国家卫生计生委关于印发消毒产品卫生安全评价规定的通知》国卫监督发[2014]36号</w:t>
            </w:r>
          </w:p>
        </w:tc>
        <w:tc>
          <w:tcPr>
            <w:tcW w:w="12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经过计量认证的检验机构</w:t>
            </w:r>
          </w:p>
        </w:tc>
        <w:tc>
          <w:tcPr>
            <w:tcW w:w="10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事业单位、企业</w:t>
            </w:r>
          </w:p>
        </w:tc>
        <w:tc>
          <w:tcPr>
            <w:tcW w:w="1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333333"/>
                <w:sz w:val="20"/>
                <w:szCs w:val="20"/>
                <w:u w:val="none"/>
              </w:rPr>
            </w:pPr>
            <w:r>
              <w:rPr>
                <w:rFonts w:hint="default" w:ascii="Times New Roman" w:hAnsi="Times New Roman" w:eastAsia="宋体" w:cs="Times New Roman"/>
                <w:i w:val="0"/>
                <w:color w:val="333333"/>
                <w:kern w:val="0"/>
                <w:sz w:val="20"/>
                <w:szCs w:val="20"/>
                <w:u w:val="none"/>
                <w:lang w:val="en-US" w:eastAsia="zh-CN" w:bidi="ar"/>
              </w:rPr>
              <w:t>双方协商约定</w:t>
            </w:r>
          </w:p>
        </w:tc>
        <w:tc>
          <w:tcPr>
            <w:tcW w:w="9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52" w:hRule="atLeast"/>
          <w:jc w:val="center"/>
        </w:trPr>
        <w:tc>
          <w:tcPr>
            <w:tcW w:w="3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6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出具办理《放射诊疗许可证》核发、校验以及放射诊疗场所设备变更所需的放射诊疗设备放射防护性能检测报告和放射诊疗场所防护检测报告</w:t>
            </w:r>
          </w:p>
        </w:tc>
        <w:tc>
          <w:tcPr>
            <w:tcW w:w="12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放射诊疗许可（核发、校验、放射诊疗场所设备变更）</w:t>
            </w:r>
          </w:p>
        </w:tc>
        <w:tc>
          <w:tcPr>
            <w:tcW w:w="11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行政许可</w:t>
            </w:r>
          </w:p>
        </w:tc>
        <w:tc>
          <w:tcPr>
            <w:tcW w:w="17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近一年放射诊疗设备防护性能检测和放射诊疗场所防护检测报告</w:t>
            </w:r>
          </w:p>
        </w:tc>
        <w:tc>
          <w:tcPr>
            <w:tcW w:w="39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1、《放射诊疗管理规定》（卫生部令2005年第46号）第十四条；2、《卫生部关于印发放射诊疗许可证发放管理程序的通知》（卫监督发〔2006〕479号）第六条、第十八条。</w:t>
            </w:r>
          </w:p>
        </w:tc>
        <w:tc>
          <w:tcPr>
            <w:tcW w:w="12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取得相应放射卫生技术服务机构资质证书的单位</w:t>
            </w:r>
          </w:p>
        </w:tc>
        <w:tc>
          <w:tcPr>
            <w:tcW w:w="10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事业单位、企业</w:t>
            </w:r>
          </w:p>
        </w:tc>
        <w:tc>
          <w:tcPr>
            <w:tcW w:w="1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333333"/>
                <w:sz w:val="20"/>
                <w:szCs w:val="20"/>
                <w:u w:val="none"/>
              </w:rPr>
            </w:pPr>
            <w:r>
              <w:rPr>
                <w:rFonts w:hint="default" w:ascii="Times New Roman" w:hAnsi="Times New Roman" w:eastAsia="宋体" w:cs="Times New Roman"/>
                <w:i w:val="0"/>
                <w:color w:val="333333"/>
                <w:kern w:val="0"/>
                <w:sz w:val="20"/>
                <w:szCs w:val="20"/>
                <w:u w:val="none"/>
                <w:lang w:val="en-US" w:eastAsia="zh-CN" w:bidi="ar"/>
              </w:rPr>
              <w:t>双方协商约定</w:t>
            </w:r>
          </w:p>
        </w:tc>
        <w:tc>
          <w:tcPr>
            <w:tcW w:w="9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市级、县级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0" w:hRule="atLeast"/>
          <w:jc w:val="center"/>
        </w:trPr>
        <w:tc>
          <w:tcPr>
            <w:tcW w:w="3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6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出具放射诊疗建设项目职业病危害放射防护预评价报告书（表）</w:t>
            </w:r>
          </w:p>
        </w:tc>
        <w:tc>
          <w:tcPr>
            <w:tcW w:w="12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新建、扩建、改建放射诊疗建设项目卫生审查(预评价审核）</w:t>
            </w:r>
          </w:p>
        </w:tc>
        <w:tc>
          <w:tcPr>
            <w:tcW w:w="11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其他</w:t>
            </w:r>
          </w:p>
        </w:tc>
        <w:tc>
          <w:tcPr>
            <w:tcW w:w="17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放射诊疗建设项目职业病危害放射防护预评价报告书（表）</w:t>
            </w:r>
          </w:p>
        </w:tc>
        <w:tc>
          <w:tcPr>
            <w:tcW w:w="39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1.《职业病防治法》</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2.《放射诊疗管理规定》（卫生部令第46号公布、国家卫生和计划生育委员会令第8号修改）</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3.《卫生部关于印发&lt;放射卫生技术服务机构管理办法&gt;等文件的通知》（卫监发〔2012〕25号）</w:t>
            </w:r>
          </w:p>
        </w:tc>
        <w:tc>
          <w:tcPr>
            <w:tcW w:w="12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取得相应放射卫生技术服务机构资质证书</w:t>
            </w:r>
          </w:p>
        </w:tc>
        <w:tc>
          <w:tcPr>
            <w:tcW w:w="10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事业单位、企业</w:t>
            </w:r>
          </w:p>
        </w:tc>
        <w:tc>
          <w:tcPr>
            <w:tcW w:w="1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333333"/>
                <w:sz w:val="20"/>
                <w:szCs w:val="20"/>
                <w:u w:val="none"/>
              </w:rPr>
            </w:pPr>
            <w:r>
              <w:rPr>
                <w:rFonts w:hint="default" w:ascii="Times New Roman" w:hAnsi="Times New Roman" w:eastAsia="宋体" w:cs="Times New Roman"/>
                <w:i w:val="0"/>
                <w:color w:val="333333"/>
                <w:kern w:val="0"/>
                <w:sz w:val="20"/>
                <w:szCs w:val="20"/>
                <w:u w:val="none"/>
                <w:lang w:val="en-US" w:eastAsia="zh-CN" w:bidi="ar"/>
              </w:rPr>
              <w:t>双方协商约定</w:t>
            </w:r>
          </w:p>
        </w:tc>
        <w:tc>
          <w:tcPr>
            <w:tcW w:w="9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市级、县级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80" w:hRule="atLeast"/>
          <w:jc w:val="center"/>
        </w:trPr>
        <w:tc>
          <w:tcPr>
            <w:tcW w:w="3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6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出具放射诊疗建设项目职业病危害放射防护控制效果评价报告</w:t>
            </w:r>
          </w:p>
        </w:tc>
        <w:tc>
          <w:tcPr>
            <w:tcW w:w="12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新建、扩建、改建放射诊疗建设项目竣工验收</w:t>
            </w:r>
          </w:p>
        </w:tc>
        <w:tc>
          <w:tcPr>
            <w:tcW w:w="11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其他</w:t>
            </w:r>
          </w:p>
        </w:tc>
        <w:tc>
          <w:tcPr>
            <w:tcW w:w="17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放射诊疗建设项目职业病危害放射防护控制效果评价报告</w:t>
            </w:r>
          </w:p>
        </w:tc>
        <w:tc>
          <w:tcPr>
            <w:tcW w:w="39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1.《职业病防治法》</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2.《放射诊疗管理规定》（卫生部令第 46 号公布、国家卫生和计划生育委员会令第8号修改）</w:t>
            </w:r>
            <w:r>
              <w:rPr>
                <w:rFonts w:hint="default" w:ascii="Times New Roman" w:hAnsi="Times New Roman" w:eastAsia="宋体" w:cs="Times New Roman"/>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0"/>
                <w:szCs w:val="20"/>
                <w:u w:val="none"/>
                <w:lang w:val="en-US" w:eastAsia="zh-CN" w:bidi="ar"/>
              </w:rPr>
              <w:t>3.《卫生部关于印发&lt;放射卫生技术服务机构管理办法&gt;等文件的通知》（卫监发〔2012〕25号）</w:t>
            </w:r>
          </w:p>
        </w:tc>
        <w:tc>
          <w:tcPr>
            <w:tcW w:w="12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取得相应放射卫生技术服务机构资质证书</w:t>
            </w:r>
          </w:p>
        </w:tc>
        <w:tc>
          <w:tcPr>
            <w:tcW w:w="10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事业单位、企业</w:t>
            </w:r>
          </w:p>
        </w:tc>
        <w:tc>
          <w:tcPr>
            <w:tcW w:w="10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333333"/>
                <w:sz w:val="20"/>
                <w:szCs w:val="20"/>
                <w:u w:val="none"/>
              </w:rPr>
            </w:pPr>
            <w:r>
              <w:rPr>
                <w:rFonts w:hint="default" w:ascii="Times New Roman" w:hAnsi="Times New Roman" w:eastAsia="宋体" w:cs="Times New Roman"/>
                <w:i w:val="0"/>
                <w:color w:val="333333"/>
                <w:kern w:val="0"/>
                <w:sz w:val="20"/>
                <w:szCs w:val="20"/>
                <w:u w:val="none"/>
                <w:lang w:val="en-US" w:eastAsia="zh-CN" w:bidi="ar"/>
              </w:rPr>
              <w:t>双方协商约定</w:t>
            </w:r>
          </w:p>
        </w:tc>
        <w:tc>
          <w:tcPr>
            <w:tcW w:w="9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市级、县级</w:t>
            </w:r>
          </w:p>
        </w:tc>
      </w:tr>
    </w:tbl>
    <w:p>
      <w:pPr>
        <w:jc w:val="center"/>
        <w:rPr>
          <w:rFonts w:hint="eastAsia" w:ascii="方正小标宋简体" w:eastAsia="方正小标宋简体"/>
          <w:sz w:val="44"/>
          <w:szCs w:val="44"/>
        </w:rPr>
      </w:pPr>
    </w:p>
    <w:p>
      <w:pPr>
        <w:rPr>
          <w:rFonts w:hint="eastAsia" w:ascii="仿宋_GB2312" w:eastAsia="仿宋_GB2312"/>
          <w:snapToGrid w:val="0"/>
          <w:kern w:val="0"/>
          <w:sz w:val="32"/>
          <w:szCs w:val="32"/>
          <w:lang w:eastAsia="zh-CN"/>
        </w:rPr>
      </w:pPr>
    </w:p>
    <w:sectPr>
      <w:footerReference r:id="rId3" w:type="default"/>
      <w:pgSz w:w="16838" w:h="11906" w:orient="landscape"/>
      <w:pgMar w:top="1531" w:right="2041" w:bottom="1531" w:left="2041" w:header="851" w:footer="1332" w:gutter="0"/>
      <w:paperSrc/>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kVBSmswBAAB6AwAADgAAAAAAAAABACAAAAAiAQAAZHJz&#10;L2Uyb0RvYy54bWxQSwUGAAAAAAYABgBZAQAAYAU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08436426"/>
    <w:rsid w:val="16DE0CBB"/>
    <w:rsid w:val="1BBD2F84"/>
    <w:rsid w:val="2BE31E2C"/>
    <w:rsid w:val="32CE002A"/>
    <w:rsid w:val="3C9A6356"/>
    <w:rsid w:val="5C2A1EEB"/>
    <w:rsid w:val="5DDC74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5">
    <w:name w:val="Default Paragraph Font"/>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header"/>
    <w:basedOn w:val="1"/>
    <w:link w:val="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页脚 Char"/>
    <w:basedOn w:val="5"/>
    <w:link w:val="2"/>
    <w:uiPriority w:val="0"/>
    <w:rPr>
      <w:rFonts w:ascii="Times New Roman" w:hAnsi="Times New Roman" w:eastAsia="宋体" w:cs="Times New Roman"/>
      <w:kern w:val="2"/>
      <w:sz w:val="18"/>
      <w:szCs w:val="18"/>
    </w:rPr>
  </w:style>
  <w:style w:type="character" w:customStyle="1" w:styleId="7">
    <w:name w:val="页眉 Char"/>
    <w:basedOn w:val="5"/>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2012-04-23T15:15:23Z</dcterms:created>
  <dc:creator>张婉玲</dc:creator>
  <cp:lastModifiedBy>eva</cp:lastModifiedBy>
  <dcterms:modified xsi:type="dcterms:W3CDTF">2020-12-10T09:49:54Z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