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-SA"/>
        </w:rPr>
        <w:t>“广东医生战疫情”演讲比赛推选结果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-SA"/>
        </w:rPr>
      </w:pPr>
    </w:p>
    <w:tbl>
      <w:tblPr>
        <w:tblStyle w:val="3"/>
        <w:tblW w:w="78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61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84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一等奖（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2名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宋炳军</w:t>
            </w: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人之初杂志社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颜  芳</w:t>
            </w: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84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84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二等奖（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4名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刘王凯</w:t>
            </w: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薛倩茹</w:t>
            </w: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李晓艺</w:t>
            </w: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寸晶晶</w:t>
            </w: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84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84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三等奖（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8名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符梦瑜</w:t>
            </w: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东莞市第八人民医院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磊</w:t>
            </w: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湛江中心人民医院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唐三梅</w:t>
            </w: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南方医科大学皮肤病医院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吴伟林</w:t>
            </w: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  爽</w:t>
            </w: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珠海市妇幼保健院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陈冬阳</w:t>
            </w: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汕头大学医学院第一附属医院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力</w:t>
            </w: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婷</w:t>
            </w: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84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优秀奖（12名）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莫思晴</w:t>
            </w: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中山大学孙逸仙纪念医院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张兴钦</w:t>
            </w: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  靖</w:t>
            </w: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  莹</w:t>
            </w: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广东省卫生监督所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彭恒欣</w:t>
            </w: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茂名市茂南区河东街道社区卫生服务中心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彭思萍</w:t>
            </w: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李文丰</w:t>
            </w: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广东药科大学附属第一医院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康丽玫</w:t>
            </w: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江门市中心医院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岳红梅</w:t>
            </w: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清远市人民医院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卫</w:t>
            </w: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河源市东源县中医院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钟章炼</w:t>
            </w: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阳江市中医医院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朱仕涛</w:t>
            </w: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广州医科大学附属第一医院</w:t>
            </w:r>
          </w:p>
        </w:tc>
      </w:tr>
    </w:tbl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D4E2D"/>
    <w:rsid w:val="21DD4E2D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2020-11-26T09:21:00Z</dcterms:created>
  <dc:creator>eva</dc:creator>
  <cp:lastModifiedBy>eva</cp:lastModifiedBy>
  <dcterms:modified xsi:type="dcterms:W3CDTF">2020-11-26T09:21:16Z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