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napToGrid w:val="0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44"/>
          <w:szCs w:val="32"/>
          <w:lang w:val="en-US" w:eastAsia="zh-CN"/>
        </w:rPr>
        <w:t>广东省紧密型县域医疗卫生共同体建设工作报表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仿宋_GB2312" w:cs="Times New Roman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-20"/>
          <w:sz w:val="28"/>
          <w:szCs w:val="28"/>
        </w:rPr>
      </w:pPr>
      <w:r>
        <w:rPr>
          <w:rFonts w:hint="eastAsia" w:eastAsia="仿宋_GB2312" w:cs="Times New Roman"/>
          <w:spacing w:val="-20"/>
          <w:sz w:val="28"/>
          <w:szCs w:val="28"/>
          <w:lang w:val="en-US" w:eastAsia="zh-CN"/>
        </w:rPr>
        <w:t>试点县名称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：_____</w:t>
      </w:r>
      <w:r>
        <w:rPr>
          <w:rFonts w:hint="eastAsia" w:eastAsia="仿宋_GB2312" w:cs="Times New Roman"/>
          <w:spacing w:val="-2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spacing w:val="-20"/>
          <w:sz w:val="28"/>
          <w:szCs w:val="28"/>
          <w:u w:val="none"/>
          <w:lang w:val="en-US" w:eastAsia="zh-CN"/>
        </w:rPr>
        <w:t>市卫生健康局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 xml:space="preserve">  </w:t>
      </w:r>
      <w:r>
        <w:rPr>
          <w:rFonts w:hint="eastAsia" w:eastAsia="仿宋_GB2312" w:cs="Times New Roman"/>
          <w:spacing w:val="-20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 w:cs="Times New Roman"/>
          <w:spacing w:val="-20"/>
          <w:sz w:val="28"/>
          <w:szCs w:val="28"/>
          <w:u w:val="none"/>
          <w:lang w:val="en-US" w:eastAsia="zh-CN"/>
        </w:rPr>
        <w:t>填表人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eastAsia="仿宋_GB2312" w:cs="Times New Roman"/>
          <w:spacing w:val="-2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 xml:space="preserve"> </w:t>
      </w:r>
      <w:r>
        <w:rPr>
          <w:rFonts w:hint="eastAsia" w:eastAsia="仿宋_GB2312" w:cs="Times New Roman"/>
          <w:spacing w:val="-20"/>
          <w:sz w:val="28"/>
          <w:szCs w:val="28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填报时间：20</w:t>
      </w:r>
      <w:r>
        <w:rPr>
          <w:rFonts w:hint="eastAsia" w:eastAsia="仿宋_GB2312" w:cs="Times New Roman"/>
          <w:spacing w:val="-20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 xml:space="preserve">年__月__日 </w:t>
      </w:r>
    </w:p>
    <w:tbl>
      <w:tblPr>
        <w:tblStyle w:val="2"/>
        <w:tblpPr w:leftFromText="180" w:rightFromText="180" w:vertAnchor="text" w:horzAnchor="page" w:tblpX="1603" w:tblpY="818"/>
        <w:tblOverlap w:val="never"/>
        <w:tblW w:w="13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580"/>
        <w:gridCol w:w="5445"/>
        <w:gridCol w:w="1425"/>
        <w:gridCol w:w="142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一、</w:t>
            </w:r>
            <w:r>
              <w:rPr>
                <w:rFonts w:hint="eastAsia" w:eastAsia="仿宋_GB2312"/>
                <w:sz w:val="28"/>
                <w:szCs w:val="21"/>
                <w:lang w:eastAsia="zh-CN"/>
              </w:rPr>
              <w:t>有序就医格局基本形成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县域内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住院人次</w:t>
            </w:r>
            <w:r>
              <w:rPr>
                <w:rFonts w:hint="eastAsia" w:eastAsia="仿宋_GB2312"/>
                <w:sz w:val="24"/>
                <w:szCs w:val="28"/>
              </w:rPr>
              <w:t>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【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</w:t>
            </w:r>
            <w:r>
              <w:rPr>
                <w:rFonts w:hint="eastAsia" w:eastAsia="仿宋_GB2312"/>
                <w:sz w:val="24"/>
                <w:szCs w:val="28"/>
              </w:rPr>
              <w:t>县域内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住院人次</w:t>
            </w:r>
            <w:r>
              <w:rPr>
                <w:rFonts w:hint="eastAsia" w:eastAsia="仿宋_GB2312"/>
                <w:sz w:val="24"/>
                <w:szCs w:val="28"/>
              </w:rPr>
              <w:t>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=参保人员县域内住院人次/参保人员住院总人次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【数据来源】卫生健康部门或医保信息系统。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2.县域就诊率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【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【计算方法】县域就诊率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=参保人员县域内门急诊人次/参保人员门急诊总人次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【数据来源】卫生健康部门或医保信息系统。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3.</w:t>
            </w:r>
            <w:r>
              <w:rPr>
                <w:rFonts w:hint="eastAsia" w:eastAsia="仿宋_GB2312"/>
                <w:sz w:val="24"/>
                <w:szCs w:val="28"/>
              </w:rPr>
              <w:t>县域内基层医疗卫生机构门急诊占比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【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【计算方法】县域内基层医疗卫生机构门急诊占比（%）=基层医疗卫生机构门急诊人次/县域内门急诊总人次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【数据来源】卫生财务年报。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-20"/>
          <w:sz w:val="28"/>
          <w:szCs w:val="28"/>
        </w:rPr>
      </w:pPr>
      <w:r>
        <w:rPr>
          <w:rFonts w:hint="eastAsia" w:eastAsia="仿宋_GB2312" w:cs="Times New Roman"/>
          <w:spacing w:val="-20"/>
          <w:sz w:val="28"/>
          <w:szCs w:val="28"/>
          <w:lang w:val="en-US" w:eastAsia="zh-CN"/>
        </w:rPr>
        <w:t>填报说明：本附件由试点县医共体管理委员会汇总县域医共体数据后填写，报地级市卫生健康局汇总;“ / ”是将数据填入分子分母。</w:t>
      </w:r>
    </w:p>
    <w:tbl>
      <w:tblPr>
        <w:tblStyle w:val="2"/>
        <w:tblpPr w:leftFromText="180" w:rightFromText="180" w:vertAnchor="text" w:horzAnchor="page" w:tblpX="1573" w:tblpY="244"/>
        <w:tblOverlap w:val="never"/>
        <w:tblW w:w="13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580"/>
        <w:gridCol w:w="5445"/>
        <w:gridCol w:w="1425"/>
        <w:gridCol w:w="142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一、</w:t>
            </w:r>
            <w:r>
              <w:rPr>
                <w:rFonts w:hint="eastAsia" w:eastAsia="仿宋_GB2312"/>
                <w:sz w:val="28"/>
                <w:szCs w:val="21"/>
                <w:lang w:eastAsia="zh-CN"/>
              </w:rPr>
              <w:t>有序就医格局基本形成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4.</w:t>
            </w:r>
            <w:r>
              <w:rPr>
                <w:rFonts w:hint="eastAsia" w:eastAsia="仿宋_GB2312"/>
                <w:sz w:val="24"/>
                <w:szCs w:val="28"/>
              </w:rPr>
              <w:t>县域内基层医疗卫生机构中医药门急诊占比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【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【计算方法】县域内基层医疗卫生机构中医药门急诊占比</w:t>
            </w:r>
            <w:r>
              <w:rPr>
                <w:rFonts w:hint="eastAsia" w:eastAsia="仿宋_GB2312"/>
                <w:sz w:val="24"/>
                <w:szCs w:val="28"/>
              </w:rPr>
              <w:t>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=牵头医院本年度向基层下转住院患者人次/县域内门急诊总人次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【数据来源】卫生健康统计年鉴。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5.牵头医院下转患者数量占比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【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【计算方法】牵头医院下转患者数量占比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=参保人员县域内门急诊人次/牵头医院总出院患者人次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【数据来源】医联体监测平台。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慢病患者基层医疗卫生机构管理率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【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【计算方法】慢病患者基层医疗卫生机构管理率（%）=高血压、糖尿病患者管理人数/高血压、糖尿病确诊登记人数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【数据来源】基层公共卫生信息系统、医疗服务年报。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基层医疗卫生机构人均收入与牵头医院人均收入的比值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eastAsia="zh-CN"/>
              </w:rPr>
              <w:t>【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【计算方法】基层医疗卫生机构人均收入与牵头医院人均收入的比值（%）=基层医疗卫生机构人均收入/牵头医院人均收入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【数据来源】卫生财务年报。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二、</w:t>
            </w:r>
            <w:r>
              <w:rPr>
                <w:rFonts w:hint="eastAsia" w:eastAsia="仿宋_GB2312"/>
                <w:sz w:val="28"/>
                <w:szCs w:val="21"/>
                <w:lang w:eastAsia="zh-CN"/>
              </w:rPr>
              <w:t>县域医疗卫生服务能力提升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8.</w:t>
            </w:r>
            <w:r>
              <w:rPr>
                <w:rFonts w:hint="eastAsia" w:eastAsia="仿宋_GB2312"/>
                <w:sz w:val="24"/>
                <w:szCs w:val="28"/>
              </w:rPr>
              <w:t>牵头医院是否达到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县级综合医院或中医医院综合能力</w:t>
            </w:r>
            <w:r>
              <w:rPr>
                <w:rFonts w:hint="eastAsia" w:eastAsia="仿宋_GB2312"/>
                <w:sz w:val="24"/>
                <w:szCs w:val="28"/>
              </w:rPr>
              <w:t>推荐标准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</w:t>
            </w:r>
            <w:r>
              <w:rPr>
                <w:rFonts w:hint="eastAsia" w:eastAsia="仿宋_GB2312"/>
                <w:sz w:val="24"/>
                <w:szCs w:val="28"/>
              </w:rPr>
              <w:t>牵头医院是否达到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国家卫生健康委、国家中医药管理局印发的县医院、县级中医医院医疗服务能力</w:t>
            </w:r>
            <w:r>
              <w:rPr>
                <w:rFonts w:hint="eastAsia" w:eastAsia="仿宋_GB2312"/>
                <w:sz w:val="24"/>
                <w:szCs w:val="28"/>
              </w:rPr>
              <w:t>推荐标准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【数据来源】牵头医院。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9.牵头医院出院患者三四级手术比例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【计算方法】牵头医院出院患者三四级手术比例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=三四级手术台次数/同期出院患者手术台次数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【数据来源】牵头医院病案信息系统。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10.</w:t>
            </w:r>
            <w:r>
              <w:rPr>
                <w:rFonts w:hint="eastAsia" w:eastAsia="仿宋_GB2312"/>
                <w:sz w:val="24"/>
                <w:szCs w:val="28"/>
              </w:rPr>
              <w:t>区域内万人口全科医生数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</w:t>
            </w:r>
            <w:r>
              <w:rPr>
                <w:rFonts w:hint="eastAsia" w:eastAsia="仿宋_GB2312"/>
                <w:sz w:val="24"/>
                <w:szCs w:val="28"/>
              </w:rPr>
              <w:t>区域内万人口全科医生数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=年末全科医生数/同年末常住人口数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【数据来源】卫生健康统计年鉴。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11.牵头医院帮助基层开展新技术、新项目的数量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【计算方法】开展新技术、新项目名称、数量、进展情况等佐证支撑材料。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【数据来源】牵头医院。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二、</w:t>
            </w:r>
            <w:r>
              <w:rPr>
                <w:rFonts w:hint="eastAsia" w:eastAsia="仿宋_GB2312"/>
                <w:sz w:val="28"/>
                <w:szCs w:val="21"/>
                <w:lang w:eastAsia="zh-CN"/>
              </w:rPr>
              <w:t>县域医疗卫生服务能力提升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12.</w:t>
            </w:r>
            <w:r>
              <w:rPr>
                <w:rFonts w:hint="eastAsia" w:eastAsia="仿宋_GB2312"/>
                <w:sz w:val="24"/>
                <w:szCs w:val="28"/>
              </w:rPr>
              <w:t>“优质服务基层行”活动达到基本标准和推荐标准的机构数量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【计算方法】达到国家卫生健康委、国家中医药局“优质服务基层行”活动《乡镇卫生院服务能力标准》《社区卫生服务中心服务能力标准》中基本标准和推荐标准的机构数量。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【数据来源】县级卫生健康行政部门。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13.国家基本公共卫生服务项目实施情况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【计算方法】国家基本公共卫生服务项目实施情况绩效评价得分。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【数据来源】县级卫生健康行政部门。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三、医疗卫生资源有效利用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14.</w:t>
            </w:r>
            <w:r>
              <w:rPr>
                <w:rFonts w:hint="eastAsia" w:eastAsia="仿宋_GB2312"/>
                <w:sz w:val="24"/>
                <w:szCs w:val="28"/>
              </w:rPr>
              <w:t>牵头医院医疗服务收入占医疗收入的比例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</w:t>
            </w:r>
            <w:r>
              <w:rPr>
                <w:rFonts w:hint="eastAsia" w:eastAsia="仿宋_GB2312"/>
                <w:sz w:val="24"/>
                <w:szCs w:val="28"/>
              </w:rPr>
              <w:t>牵头医院医疗服务收入占医疗收入的比例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=（医疗收入 -药品、耗材、检查和化验收入）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/总医疗收入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【数据来源】卫生财务年报。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15.基层医疗卫生机构医疗服务收入占医疗收入的比例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【计算方法】基层医疗卫生机构医疗服务收入占医疗收入的比例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=（医疗收入 -药品、耗材、检查和化验收入）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/总医疗收入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【数据来源】卫生财务年报。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三、医疗卫生资源有效利用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16.基层医疗卫生机构医师日均担负诊疗人次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【计算方法】基层医疗卫生机构医师日均担负诊疗人次=诊疗人次数/同期平均执业（助理）医师数/同期工作日数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【数据来源】卫生健康统计年鉴。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17.县域医共体内基层医疗卫生机构床位使用率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【计算方法】县域医共体内基层医疗卫生机构床位使用率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=基层医疗卫生机构实际使用总床日数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/实际开放总床日数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【数据来源】卫生健康统计年鉴。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牵头医院人员经费占业务支出比例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【计算方法】牵头医院人员经费占业务支出比例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=牵头医院人均经费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/业务支出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【数据来源】卫生财务年报。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基层医疗卫生机构财政补助收入占总收入的比例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【计算方法】基层医疗卫生机构财政补助收入占总收入的比例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=基层医疗卫生机构本年财政补助收入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/总收入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【数据来源】卫生财务年报。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四、医保基金使用效能提升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20.</w:t>
            </w:r>
            <w:r>
              <w:rPr>
                <w:rFonts w:hint="eastAsia" w:eastAsia="仿宋_GB2312"/>
                <w:sz w:val="24"/>
                <w:szCs w:val="28"/>
              </w:rPr>
              <w:t>医保基金县域内支出率（不含药店）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</w:t>
            </w:r>
            <w:r>
              <w:rPr>
                <w:rFonts w:hint="eastAsia" w:eastAsia="仿宋_GB2312"/>
                <w:sz w:val="24"/>
                <w:szCs w:val="28"/>
              </w:rPr>
              <w:t>医保基金县域内支出率（不含药店）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</w:t>
            </w:r>
            <w:r>
              <w:rPr>
                <w:rFonts w:hint="eastAsia" w:eastAsia="仿宋_GB2312"/>
                <w:sz w:val="24"/>
                <w:szCs w:val="28"/>
              </w:rPr>
              <w:t>县域内医疗内医疗卫生机构医保基金支出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全县医保基金总支出</w:t>
            </w:r>
            <w:r>
              <w:rPr>
                <w:rFonts w:hint="default" w:eastAsia="仿宋_GB2312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【数据来源】医保信息系统。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21.县域内基层医疗卫生机构医保基金占比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【计算方法】县域内基层医疗卫生机构医保基金占比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=基层医疗卫生机构医保基金支出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全县医保基金总支出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【数据来源】医保经办机构。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22.</w:t>
            </w:r>
            <w:r>
              <w:rPr>
                <w:rFonts w:hint="eastAsia" w:eastAsia="仿宋_GB2312"/>
                <w:sz w:val="24"/>
                <w:szCs w:val="28"/>
              </w:rPr>
              <w:t>医保考核结果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【计算方法】医保经办机构按照协议规定，对县域医共体或定点医疗卫生机构的考核结果。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【数据来源】医保经办机构。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23.县域门诊次均费用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【计算方法】县域门诊次均费用=县域医共体医疗卫生机构门诊收入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县域医疗卫生机构门诊人次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【数据来源】卫生财务年报。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24.参保人员住院次均费用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2"/>
                <w:szCs w:val="24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【计算方法】参保人员住院次均费用=</w:t>
            </w:r>
            <w:r>
              <w:rPr>
                <w:rFonts w:hint="eastAsia" w:eastAsia="仿宋_GB2312"/>
                <w:sz w:val="24"/>
                <w:szCs w:val="28"/>
              </w:rPr>
              <w:t>参保人员住院总费用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参保人员住院次数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【数据来源】医保信息系统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四、医保基金使用效能提升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25.</w:t>
            </w:r>
            <w:r>
              <w:rPr>
                <w:rFonts w:hint="eastAsia" w:eastAsia="仿宋_GB2312"/>
                <w:sz w:val="24"/>
                <w:szCs w:val="28"/>
              </w:rPr>
              <w:t>住院费用实际报销比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</w:t>
            </w:r>
            <w:r>
              <w:rPr>
                <w:rFonts w:hint="eastAsia" w:eastAsia="仿宋_GB2312"/>
                <w:sz w:val="24"/>
                <w:szCs w:val="28"/>
              </w:rPr>
              <w:t>住院费用实际报销比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</w:t>
            </w:r>
            <w:r>
              <w:rPr>
                <w:rFonts w:hint="eastAsia" w:eastAsia="仿宋_GB2312"/>
                <w:sz w:val="24"/>
                <w:szCs w:val="28"/>
              </w:rPr>
              <w:t>参保人员住院实际报销总额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参保人员住院费用总</w:t>
            </w:r>
            <w:r>
              <w:rPr>
                <w:rFonts w:hint="eastAsia" w:eastAsia="仿宋_GB2312"/>
                <w:sz w:val="24"/>
                <w:szCs w:val="28"/>
              </w:rPr>
              <w:t>额</w:t>
            </w:r>
            <w:r>
              <w:rPr>
                <w:rFonts w:hint="default" w:eastAsia="仿宋_GB2312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【数据来源】医保信息系统。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26.参保人员年住院率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国家指标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【计算方法】参保人员年住院率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=参保人员年住院人次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参保人数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【数据来源】医保信息系统。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五、落实分级诊疗制度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27.县域医共体内基层医疗卫生机构住院率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省级指标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【计算方法】县域医共体内基层医疗卫生机构住院率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=县域医共体内基层医疗卫生机构住院人数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县域医共体住院总人数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【数据来源】卫生统计年报表。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28.牵头医院出院患者平均住院日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2"/>
                <w:szCs w:val="24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省级指标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【计算方法】牵头医院出院患者平均住院日=报告期内县域医共体牵头医院出院者占用总床日数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同期牵头医院出院总人数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【数据来源】卫生统计年报表。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</w:trPr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指标说明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XX县（市、区）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六、做实做细家庭医生签约服务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29.重点人群家庭医生签约率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≥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60%，且持续提升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省级指标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【计算方法】重点人群家庭医生签约率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=重点人群签约服务人数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重点人群人口总数</w:t>
            </w:r>
            <w:r>
              <w:rPr>
                <w:rFonts w:hint="default" w:eastAsia="仿宋_GB2312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100%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30.签约的慢病控制率（高血压+糖尿病）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省级指标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【签约高血压控制率】签约家庭医生的18岁及以上高血压人群中，通过治疗将血压水平控制在140/90mmHg以下者所占的比例。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【签约糖尿病控制率】签约家庭医生的18岁及以上糖尿病人群中，空腹血糖控制在7.0mmol/L及以下或糖化血红蛋白控制在7%及以下者所占的比例。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eastAsia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1"/>
                <w:lang w:val="en-US" w:eastAsia="zh-CN"/>
              </w:rPr>
              <w:t>七、强化健康服务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31.国家基本公共卫生服务项目效果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省级指标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主要体现在基层医疗卫生机构基本公共服务的开展情况。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32.65~74岁老年人失能发生率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2"/>
                <w:szCs w:val="24"/>
                <w:lang w:eastAsia="zh-CN"/>
              </w:rPr>
            </w:pPr>
            <w:r>
              <w:rPr>
                <w:rFonts w:hint="eastAsia" w:eastAsia="仿宋_GB2312"/>
                <w:sz w:val="22"/>
                <w:szCs w:val="24"/>
                <w:lang w:eastAsia="zh-CN"/>
              </w:rPr>
              <w:t>【</w:t>
            </w:r>
            <w:r>
              <w:rPr>
                <w:rFonts w:hint="eastAsia" w:eastAsia="仿宋_GB2312"/>
                <w:sz w:val="22"/>
                <w:szCs w:val="24"/>
                <w:lang w:val="en-US" w:eastAsia="zh-CN"/>
              </w:rPr>
              <w:t>省级指标</w:t>
            </w:r>
            <w:r>
              <w:rPr>
                <w:rFonts w:hint="eastAsia" w:eastAsia="仿宋_GB2312"/>
                <w:sz w:val="22"/>
                <w:szCs w:val="24"/>
                <w:lang w:eastAsia="zh-CN"/>
              </w:rPr>
              <w:t>】</w:t>
            </w:r>
          </w:p>
        </w:tc>
        <w:tc>
          <w:tcPr>
            <w:tcW w:w="5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Chars="0" w:right="0" w:rightChars="0"/>
              <w:jc w:val="left"/>
              <w:textAlignment w:val="auto"/>
              <w:outlineLvl w:val="9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【计算方法】65~74岁老年人失能发生率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%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=65~74岁失能老年人数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65~74岁失能总人数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100%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130CB"/>
    <w:multiLevelType w:val="singleLevel"/>
    <w:tmpl w:val="8F0130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5970CE"/>
    <w:multiLevelType w:val="singleLevel"/>
    <w:tmpl w:val="EF5970C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FE0A5B"/>
    <w:multiLevelType w:val="singleLevel"/>
    <w:tmpl w:val="56FE0A5B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B3850"/>
    <w:rsid w:val="136B3850"/>
    <w:rsid w:val="2DA744BF"/>
    <w:rsid w:val="43D1439D"/>
    <w:rsid w:val="494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2020-10-09T01:43:00Z</dcterms:created>
  <dc:creator>吴志雄</dc:creator>
  <cp:lastModifiedBy>吴志雄</cp:lastModifiedBy>
  <dcterms:modified xsi:type="dcterms:W3CDTF">2020-11-05T01:40:16Z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