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0" w:firstLineChars="0"/>
        <w:jc w:val="left"/>
        <w:outlineLvl w:val="9"/>
        <w:rPr>
          <w:rFonts w:hint="eastAsia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cs="Times New Roman"/>
          <w:color w:val="000000"/>
          <w:kern w:val="0"/>
          <w:sz w:val="32"/>
          <w:szCs w:val="32"/>
          <w:lang w:val="en-US" w:eastAsia="zh-CN"/>
        </w:rPr>
        <w:t>附件</w:t>
      </w: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发热诊室参考设备配置清单</w:t>
      </w:r>
    </w:p>
    <w:tbl>
      <w:tblPr>
        <w:tblStyle w:val="3"/>
        <w:tblW w:w="89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9"/>
        <w:gridCol w:w="2514"/>
        <w:gridCol w:w="4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设备分类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办公和通讯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医生工作站等信息系统改造和对接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身份证读卡器、打印机、电话等办公设备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基础类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转运平车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抢救车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转运轮椅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标本存放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生物安全柜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医疗救治类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雾化泵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电子血压计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体温探测门（红外线）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电子体温计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血糖仪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加压输液泵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监护仪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负压担架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消毒防护</w:t>
            </w: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紫外线灯车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医用空气消毒机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防护物资(口罩、面屏、防护眼罩、隔离衣、防护服、消毒液等)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通风设备改造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消毒设备</w:t>
            </w:r>
          </w:p>
        </w:tc>
      </w:tr>
    </w:tbl>
    <w:p>
      <w:r>
        <w:rPr>
          <w:rFonts w:hint="eastAsia" w:cs="Times New Roman"/>
          <w:color w:val="000000"/>
          <w:kern w:val="0"/>
          <w:sz w:val="32"/>
          <w:szCs w:val="32"/>
          <w:lang w:val="en-US" w:eastAsia="zh-CN"/>
        </w:rPr>
        <w:t>备注：各发热诊室可结合业务需求配置。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A104C"/>
    <w:rsid w:val="45CA5A85"/>
    <w:rsid w:val="67FA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仿宋_GB2312" w:cs="Times New Roman"/>
      <w:sz w:val="28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2020-09-08T10:47:00Z</dcterms:created>
  <dc:creator>eva</dc:creator>
  <cp:lastModifiedBy>eva</cp:lastModifiedBy>
  <dcterms:modified xsi:type="dcterms:W3CDTF">2020-09-08T10:48:15Z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