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岭南区域营养创新平台申请报告</w:t>
      </w:r>
    </w:p>
    <w:p>
      <w:pPr>
        <w:pStyle w:val="2"/>
        <w:keepNext w:val="0"/>
        <w:keepLines w:val="0"/>
        <w:pageBreakBefore w:val="0"/>
        <w:widowControl w:val="0"/>
        <w:kinsoku/>
        <w:wordWrap/>
        <w:overflowPunct/>
        <w:topLinePunct w:val="0"/>
        <w:autoSpaceDE/>
        <w:autoSpaceDN/>
        <w:bidi w:val="0"/>
        <w:spacing w:after="0" w:afterLines="0" w:line="560" w:lineRule="exact"/>
        <w:ind w:firstLine="567"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着社会、经济的发展，人类的疾病谱发生了很大的变化。慢性非传染性疾病（以下简称“慢病”），诸如心血管疾病、糖尿病、卒中、非酒精性脂肪肝和恶性肿瘤等已成为人类健康的主要杀手。我国人群86%以上的死亡是由慢病所导致的。慢病特别是疾病谱中的心血管疾病、糖尿病、肥胖以及部分肿瘤与不合理的营养膳食密切相关，被称为营养相关疾病。因此，促进我国人群健康水平，降低慢病风险，合理的营养膳食是重大的民生问题，也是实现“健康中国2030”规划纲要迫切需要解决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广东地处亚热带，气候炎热且湿度大，并在改革开放的发展过程中兼容并包外来饮食文化，形成独特的岭南膳食结构。但是由于目前岭南营养膳食对健康及慢性非传染性疾病的影响尚缺乏系统研究，营养健康实践普及程度发展不平衡不充分。在《“健康中国2030”规划纲要》的推动下，营养与健康已经成为健康中国的重要组成部分。岭南区域营养创新平台的创建成立，将进一步落实</w:t>
      </w:r>
      <w:bookmarkStart w:id="0" w:name="_Hlk46904610"/>
      <w:r>
        <w:rPr>
          <w:rFonts w:hint="default" w:ascii="Times New Roman" w:hAnsi="Times New Roman" w:eastAsia="仿宋_GB2312" w:cs="Times New Roman"/>
          <w:color w:val="000000"/>
          <w:sz w:val="32"/>
          <w:szCs w:val="32"/>
        </w:rPr>
        <w:t>《国民营养计划（2017-2030年）》和《健康中国行动（2019-2030年）》</w:t>
      </w:r>
      <w:bookmarkEnd w:id="0"/>
      <w:r>
        <w:rPr>
          <w:rFonts w:hint="default" w:ascii="Times New Roman" w:hAnsi="Times New Roman" w:eastAsia="仿宋_GB2312" w:cs="Times New Roman"/>
          <w:color w:val="000000"/>
          <w:sz w:val="32"/>
          <w:szCs w:val="32"/>
        </w:rPr>
        <w:t>的要求，开展健康食品的研发，提升营养人才的培养水平，促进合理膳食营养知识的普及，推进营养健康相关政策、标准的制定，为我国居民的合理膳食实践、降低慢病风险提供科学技术支撑。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以习近平新时代中国特色社会主义思想为指导，以《“健康中国2030”规划纲要》为准绳，基于营养健康的基础和应用研究，立足广东、辐射岭南，探讨岭南地区膳食结构和人群健康的关系，明确具有健康效应的岭南特色食物，并建立岭南健康膳食模式。在此基础上，针对性开展促进健康的岭南膳食的研发转化，集聚技术创新和资源配置，促使食品生产品种、加工工艺更切合居民健康需求；通过大数据分析和营养政策等研究，建立新的营养促进健康的标准和政策；通过广泛深入的营养健康教育，营养监测、干预等提升居民的膳食健康的行为和实践，全面提升人群健康水平，降低营养相关的慢性代谢性疾病的风险。</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二、研究方向和目标</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（一）岭南特色膳食的健康效应。</w:t>
      </w:r>
      <w:r>
        <w:rPr>
          <w:rFonts w:hint="default" w:ascii="Times New Roman" w:hAnsi="Times New Roman" w:eastAsia="仿宋_GB2312" w:cs="Times New Roman"/>
          <w:color w:val="000000"/>
          <w:sz w:val="32"/>
          <w:szCs w:val="32"/>
        </w:rPr>
        <w:t>通过创新理论与方法、前沿技术，探讨岭南膳食及其营养物质对健康影响，揭示岭南特色食物、膳食成分对健康和疾病的影响。</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（二）岭南特色健康食品的筛选和健康膳食模式的建立。</w:t>
      </w:r>
      <w:r>
        <w:rPr>
          <w:rFonts w:hint="default" w:ascii="Times New Roman" w:hAnsi="Times New Roman" w:eastAsia="仿宋_GB2312" w:cs="Times New Roman"/>
          <w:color w:val="000000"/>
          <w:sz w:val="32"/>
          <w:szCs w:val="32"/>
        </w:rPr>
        <w:t>结合大规模人群营养膳食-健康-疾病队列的研究，分析岭南特色食物和营养成分与慢病的关联，推荐符合岭南人群健康的膳食模式，以降低慢病的发病风险。</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（三）加强社区营养监测、干预和评价和政策标准研究。</w:t>
      </w:r>
      <w:r>
        <w:rPr>
          <w:rFonts w:hint="default" w:ascii="Times New Roman" w:hAnsi="Times New Roman" w:eastAsia="仿宋_GB2312" w:cs="Times New Roman"/>
          <w:color w:val="000000"/>
          <w:sz w:val="32"/>
          <w:szCs w:val="32"/>
        </w:rPr>
        <w:t>在岭南地区定期开展营养监测、干预、评价、咨询，营养健康政策、标准，临床营养管理及相关政策的研究。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（四）食品安全风险评估研究。</w:t>
      </w:r>
      <w:r>
        <w:rPr>
          <w:rFonts w:hint="default" w:ascii="Times New Roman" w:hAnsi="Times New Roman" w:eastAsia="仿宋_GB2312" w:cs="Times New Roman"/>
          <w:color w:val="000000"/>
          <w:sz w:val="32"/>
          <w:szCs w:val="32"/>
        </w:rPr>
        <w:t>进一步提升食品污染物检测水平，以岭南特色食品为重点开展食品安全风险评估，为食品安全实施监督管理提供科学基础和依据。</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（五）促进营养保健食品与特医食品的转化研发。</w:t>
      </w:r>
      <w:r>
        <w:rPr>
          <w:rFonts w:hint="default" w:ascii="Times New Roman" w:hAnsi="Times New Roman" w:eastAsia="仿宋_GB2312" w:cs="Times New Roman"/>
          <w:color w:val="000000"/>
          <w:sz w:val="32"/>
          <w:szCs w:val="32"/>
        </w:rPr>
        <w:t>基于岭南特色食品健康效应的基础研究，结合并利用国外先进的研究技术，开展特色食品的转化研究，提升我国营养学研究的转化水平、促进人群健康以及相关产业的转型升级。</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（六）人才培养和营养健康教育。</w:t>
      </w:r>
      <w:r>
        <w:rPr>
          <w:rFonts w:hint="default" w:ascii="Times New Roman" w:hAnsi="Times New Roman" w:eastAsia="仿宋_GB2312" w:cs="Times New Roman"/>
          <w:color w:val="000000"/>
          <w:sz w:val="32"/>
          <w:szCs w:val="32"/>
        </w:rPr>
        <w:t>积极推广公共营养知识教育，开展公共营养师培训，提升基层社区初级和中级营养人才水平，积极加大和推进营养专业人才的教育。</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（七）加强营养健康基础数据共享和利用。</w:t>
      </w:r>
      <w:r>
        <w:rPr>
          <w:rFonts w:hint="default" w:ascii="Times New Roman" w:hAnsi="Times New Roman" w:eastAsia="仿宋_GB2312" w:cs="Times New Roman"/>
          <w:color w:val="000000"/>
          <w:sz w:val="32"/>
          <w:szCs w:val="32"/>
        </w:rPr>
        <w:t>发挥岭南地区的地缘优势，以广东省营养膳食与健康重点实验室为依托，构建岭南地区信息共享与交换机制，推动互联互通，加强营养健康基础数据利用与共享。</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三、建设内容</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（一）岭南特色膳食的健康效应研究、岭南特色健康食品的筛选和健康膳食模式的建立。</w:t>
      </w:r>
      <w:r>
        <w:rPr>
          <w:rFonts w:hint="default" w:ascii="Times New Roman" w:hAnsi="Times New Roman" w:eastAsia="仿宋_GB2312" w:cs="Times New Roman"/>
          <w:bCs/>
          <w:color w:val="000000"/>
          <w:sz w:val="32"/>
          <w:szCs w:val="32"/>
        </w:rPr>
        <w:t>基于食品和营养分析，探讨岭南膳食及其营养物质对健康影响，揭示岭南特色食物、膳食成分对健康和疾病的影响。在此基础上，结合大规模人群营养膳食-健康，人群膳食营养-疾病队列研究，分析岭南特色食物和营养成分与慢病的关联，筛选出具有健康促进效应的优良食物或食品，推荐符合岭南人群健康的膳食模式或膳食组合，降低慢病的发病风险。</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营养创新平台将按照</w:t>
      </w:r>
      <w:r>
        <w:rPr>
          <w:rFonts w:hint="default" w:ascii="Times New Roman" w:hAnsi="Times New Roman" w:eastAsia="仿宋_GB2312" w:cs="Times New Roman"/>
          <w:color w:val="000000"/>
          <w:sz w:val="32"/>
          <w:szCs w:val="32"/>
        </w:rPr>
        <w:t>《国民营养计划（2017-2030年）》和《健康中国行动（2019-2030年）》</w:t>
      </w:r>
      <w:r>
        <w:rPr>
          <w:rFonts w:hint="default" w:ascii="Times New Roman" w:hAnsi="Times New Roman" w:eastAsia="仿宋_GB2312" w:cs="Times New Roman"/>
          <w:bCs/>
          <w:color w:val="000000"/>
          <w:sz w:val="32"/>
          <w:szCs w:val="32"/>
        </w:rPr>
        <w:t xml:space="preserve">提出的加强营养能力建设的要求，开展岭南膳食营养与健康、营养与社会发展的经济学的系统研究。研究制定营养相关疾病的防控技术及策略，制定岭南特色健康食物、人群营养监测与评估的技术与方法，进一步推动和加强国家及地方的营养与健康科学研究平台的建设。 </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（二）加强社区营养监测、干预和评价和政策标准研究。</w:t>
      </w:r>
      <w:r>
        <w:rPr>
          <w:rFonts w:hint="default" w:ascii="Times New Roman" w:hAnsi="Times New Roman" w:eastAsia="仿宋_GB2312" w:cs="Times New Roman"/>
          <w:bCs/>
          <w:color w:val="000000"/>
          <w:sz w:val="32"/>
          <w:szCs w:val="32"/>
        </w:rPr>
        <w:t>在岭南地区定期开展营养监测和评价，干预、咨询，营养健康政策、标准，临床营养管理、相关政策的研究。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按照</w:t>
      </w:r>
      <w:r>
        <w:rPr>
          <w:rFonts w:hint="default" w:ascii="Times New Roman" w:hAnsi="Times New Roman" w:eastAsia="仿宋_GB2312" w:cs="Times New Roman"/>
          <w:color w:val="000000"/>
          <w:sz w:val="32"/>
          <w:szCs w:val="32"/>
        </w:rPr>
        <w:t>《国民营养计划（2017-2030年）》和《健康中国行动（2019 - 2030年）》</w:t>
      </w:r>
      <w:r>
        <w:rPr>
          <w:rFonts w:hint="default" w:ascii="Times New Roman" w:hAnsi="Times New Roman" w:eastAsia="仿宋_GB2312" w:cs="Times New Roman"/>
          <w:bCs/>
          <w:color w:val="000000"/>
          <w:sz w:val="32"/>
          <w:szCs w:val="32"/>
        </w:rPr>
        <w:t>提出的强化营养监测与评估和完善营养法规政策标准体系要求，定期开展岭南社区人群营养健康状况、食物消费状况监测。开展人群营养健康状况评价、食物营养价值评价。研究制定临床营养管理、营养监测管理等规章制度。制定完善营养健康的相关政策。加强营养健康政策、标准等的技术咨询和指导。加强标准制定的基础研究和措施保障，提高标准制修订能力。科学、及时制定以食品安全为基础的营养健康标准，推进岭南地区食品营养标准体系建设。</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（三）提高食品安全风险监测水平，开展食品安全风险评估，为食品安全实施监督管理提供科学基础和依据。</w:t>
      </w:r>
      <w:r>
        <w:rPr>
          <w:rFonts w:hint="default" w:ascii="Times New Roman" w:hAnsi="Times New Roman" w:eastAsia="仿宋_GB2312" w:cs="Times New Roman"/>
          <w:bCs/>
          <w:color w:val="000000"/>
          <w:sz w:val="32"/>
          <w:szCs w:val="32"/>
        </w:rPr>
        <w:t>拓展岭南特色食物成分监测内容，定期开展监测，收集营养成分、功能成分、与特殊疾病相关成分、有害成分等数据，完善岭南特色食物成分数据库。建立实验室参比体系，强化质量控制。实施食品安全检验检测能力达标工程，加强食品安全抽检和风险监测工作。开展岭南膳食营养素摄入、污染物等有害物质暴露的风险—受益评估，为制定科学膳食指导提供依据。</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（四）利用前沿技术促进营养健康食品、保健食品与特医食品的转化研发。</w:t>
      </w:r>
      <w:r>
        <w:rPr>
          <w:rFonts w:hint="default" w:ascii="Times New Roman" w:hAnsi="Times New Roman" w:eastAsia="仿宋_GB2312" w:cs="Times New Roman"/>
          <w:bCs/>
          <w:color w:val="000000"/>
          <w:sz w:val="32"/>
          <w:szCs w:val="32"/>
        </w:rPr>
        <w:t>基于岭南特色食品健康效应的基础研究，结合并利用国外先进的研究技术，开展特色食品的转化研究，自主研发出符合我国人群遗传和适合不同年龄代谢特点的医用特医食品、保健食品、肠内外营养产品，提升我国营养学研究的转化水平、促进人群健康以及相关产业的转型升级。</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按照《国民营养计划（2017-2030年）》和《健康中国行动（2019-2030年）》中指出要规范指导满足不同需求的食物营养健康产业发展。开发利用岭南特色农产品资源，针对岭南地区不同人群的健康需求，着力发展保健食品、营养强化食品等新型营养健康食品和特医食品。加强产业指导，规范市场秩序，科学引导消费，促进生产、消费、营养、健康协调发展。加快岭南特色食品加工营养化转型，提出食品加工工艺营养化改造路径，集成降低营养损耗和避免有毒有害物质产生的技术体系。</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（五）人才培养和营养健康教育。</w:t>
      </w:r>
      <w:r>
        <w:rPr>
          <w:rFonts w:hint="default" w:ascii="Times New Roman" w:hAnsi="Times New Roman" w:eastAsia="仿宋_GB2312" w:cs="Times New Roman"/>
          <w:bCs/>
          <w:color w:val="000000"/>
          <w:sz w:val="32"/>
          <w:szCs w:val="32"/>
        </w:rPr>
        <w:t xml:space="preserve">推荐和普及营养教育的适宜方法，提倡健康的饮食行为，积极推广公共营养知识教育，开展公共营养师培训，提升基层社区初级和中级营养人才水平，积极加大和推进营养专业人才的教育。加强营养人才培养、提升营养健康科普信息供给和传播能力以及推动营养健康科普宣教活动常态化。强化岭南地区营养人才的专业教育和高层次人才培养，推进对医院、妇幼保健机构、基层医疗卫生机构的临床医生、集中供餐单位配餐人员等的营养培训。开展营养师、营养配餐员等人才培养工作。充分利用岭南社会资源，开展营养教育培训。   </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围绕国民营养、食品安全科普宣教需求，结合岭南食物资源和饮食习惯，结合传统食养理念，编写适合于岭南地区、不同人群的居民膳食指南等营养、食品安全科普宣传资料。创新科普信息的表达形式，拓展传播渠道，建立免费共享的岭南营养、食品安全科普平台。采用多种传播方式和渠道，定向、精准地将科普信息传播到目标人群。加强营养、食品安全科普队伍建设。大力开展科普宣教活动，带动宣教活动常态化。</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Cs/>
          <w:color w:val="000000"/>
          <w:sz w:val="32"/>
          <w:szCs w:val="32"/>
        </w:rPr>
        <w:t>（六）发挥</w:t>
      </w:r>
      <w:r>
        <w:rPr>
          <w:rFonts w:hint="default" w:ascii="Times New Roman" w:hAnsi="Times New Roman" w:eastAsia="楷体_GB2312" w:cs="Times New Roman"/>
          <w:color w:val="000000"/>
          <w:sz w:val="32"/>
          <w:szCs w:val="32"/>
        </w:rPr>
        <w:t>岭南地区</w:t>
      </w:r>
      <w:r>
        <w:rPr>
          <w:rFonts w:hint="default" w:ascii="Times New Roman" w:hAnsi="Times New Roman" w:eastAsia="楷体_GB2312" w:cs="Times New Roman"/>
          <w:bCs/>
          <w:color w:val="000000"/>
          <w:sz w:val="32"/>
          <w:szCs w:val="32"/>
        </w:rPr>
        <w:t>的地缘优势</w:t>
      </w:r>
      <w:r>
        <w:rPr>
          <w:rFonts w:hint="default" w:ascii="Times New Roman" w:hAnsi="Times New Roman" w:eastAsia="楷体_GB2312" w:cs="Times New Roman"/>
          <w:bCs/>
          <w:color w:val="000000"/>
          <w:sz w:val="32"/>
          <w:szCs w:val="32"/>
          <w:lang w:eastAsia="zh-CN"/>
        </w:rPr>
        <w:t>。</w:t>
      </w:r>
      <w:r>
        <w:rPr>
          <w:rFonts w:hint="default" w:ascii="Times New Roman" w:hAnsi="Times New Roman" w:eastAsia="仿宋_GB2312" w:cs="Times New Roman"/>
          <w:bCs/>
          <w:color w:val="000000"/>
          <w:sz w:val="32"/>
          <w:szCs w:val="32"/>
        </w:rPr>
        <w:t>以广东省营养膳食与健康重点实验室为依托，构建</w:t>
      </w:r>
      <w:r>
        <w:rPr>
          <w:rFonts w:hint="default" w:ascii="Times New Roman" w:hAnsi="Times New Roman" w:eastAsia="仿宋_GB2312" w:cs="Times New Roman"/>
          <w:color w:val="000000"/>
          <w:sz w:val="32"/>
          <w:szCs w:val="32"/>
        </w:rPr>
        <w:t>岭南地区</w:t>
      </w:r>
      <w:r>
        <w:rPr>
          <w:rFonts w:hint="default" w:ascii="Times New Roman" w:hAnsi="Times New Roman" w:eastAsia="仿宋_GB2312" w:cs="Times New Roman"/>
          <w:bCs/>
          <w:color w:val="000000"/>
          <w:sz w:val="32"/>
          <w:szCs w:val="32"/>
        </w:rPr>
        <w:t>信息共享与交换机制，推动互联互通，加强营养健康基础数据利用与共享。</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依托现有信息平台，加强营养与健康信息化建设，完善食物成分与人群健康监测信息系统。构建信息共享与交换机制，推动互联互通与数据共享。利用广东省高度发展和</w:t>
      </w:r>
      <w:r>
        <w:rPr>
          <w:rFonts w:hint="default" w:ascii="Times New Roman" w:hAnsi="Times New Roman" w:eastAsia="仿宋_GB2312" w:cs="Times New Roman"/>
          <w:color w:val="000000"/>
          <w:sz w:val="32"/>
          <w:szCs w:val="32"/>
        </w:rPr>
        <w:t>岭南地区</w:t>
      </w:r>
      <w:r>
        <w:rPr>
          <w:rFonts w:hint="default" w:ascii="Times New Roman" w:hAnsi="Times New Roman" w:eastAsia="仿宋_GB2312" w:cs="Times New Roman"/>
          <w:bCs/>
          <w:color w:val="000000"/>
          <w:sz w:val="32"/>
          <w:szCs w:val="32"/>
        </w:rPr>
        <w:t>的地缘优势，积极推动“互联网+营养健康”服务和促进大数据应用试点示范，带动</w:t>
      </w:r>
      <w:r>
        <w:rPr>
          <w:rFonts w:hint="default" w:ascii="Times New Roman" w:hAnsi="Times New Roman" w:eastAsia="仿宋_GB2312" w:cs="Times New Roman"/>
          <w:color w:val="000000"/>
          <w:sz w:val="32"/>
          <w:szCs w:val="32"/>
        </w:rPr>
        <w:t>岭南地区</w:t>
      </w:r>
      <w:r>
        <w:rPr>
          <w:rFonts w:hint="default" w:ascii="Times New Roman" w:hAnsi="Times New Roman" w:eastAsia="仿宋_GB2312" w:cs="Times New Roman"/>
          <w:bCs/>
          <w:color w:val="000000"/>
          <w:sz w:val="32"/>
          <w:szCs w:val="32"/>
        </w:rPr>
        <w:t>以营养健康为导向的信息技术产业发展。大力发展</w:t>
      </w:r>
      <w:r>
        <w:rPr>
          <w:rFonts w:hint="default" w:ascii="Times New Roman" w:hAnsi="Times New Roman" w:eastAsia="仿宋_GB2312" w:cs="Times New Roman"/>
          <w:color w:val="000000"/>
          <w:sz w:val="32"/>
          <w:szCs w:val="32"/>
        </w:rPr>
        <w:t>岭南地区</w:t>
      </w:r>
      <w:r>
        <w:rPr>
          <w:rFonts w:hint="default" w:ascii="Times New Roman" w:hAnsi="Times New Roman" w:eastAsia="仿宋_GB2312" w:cs="Times New Roman"/>
          <w:bCs/>
          <w:color w:val="000000"/>
          <w:sz w:val="32"/>
          <w:szCs w:val="32"/>
        </w:rPr>
        <w:t>营养与健康信息惠民服务。发展汇聚营养、运动和健康信息的可穿戴设备、移动终端（APP），推动“互联网+”、大数据前沿技术与营养健康融合发展，提供方便可及的健康信息技术产品和服务。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四、平台的组建单位</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岭南区域营养创新平台为开展科学研究和成果转化应用的非实体合作性的联盟。</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参加单位： </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（1）广东省营养学会</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Cs/>
          <w:color w:val="000000"/>
          <w:sz w:val="32"/>
          <w:szCs w:val="32"/>
        </w:rPr>
        <w:t>广东省疾病预防控制中心</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sz w:val="32"/>
          <w:szCs w:val="32"/>
        </w:rPr>
        <w:t>中山大学公共卫生学院</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Cs/>
          <w:color w:val="000000"/>
          <w:sz w:val="32"/>
          <w:szCs w:val="32"/>
        </w:rPr>
        <w:t>广东省食品安全学会</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（5）南方医科大学</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（6）广东医科大学</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Cs/>
          <w:color w:val="000000"/>
          <w:sz w:val="32"/>
          <w:szCs w:val="32"/>
        </w:rPr>
        <w:t>广东食品药品职业学院</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（8）广东省公共卫生研究院</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（9）广东省生物制品与药物研究所</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（10）中山大学孙逸仙纪念医院</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sz w:val="32"/>
          <w:szCs w:val="32"/>
        </w:rPr>
        <w:t>广东</w:t>
      </w:r>
      <w:r>
        <w:rPr>
          <w:rFonts w:hint="default" w:ascii="Times New Roman" w:hAnsi="Times New Roman" w:eastAsia="仿宋_GB2312" w:cs="Times New Roman"/>
          <w:color w:val="000000"/>
          <w:sz w:val="32"/>
          <w:szCs w:val="32"/>
        </w:rPr>
        <w:t>省人民医院、</w:t>
      </w:r>
      <w:r>
        <w:rPr>
          <w:rFonts w:hint="default" w:ascii="Times New Roman" w:hAnsi="Times New Roman" w:eastAsia="仿宋_GB2312" w:cs="Times New Roman"/>
          <w:bCs/>
          <w:color w:val="000000"/>
          <w:sz w:val="32"/>
          <w:szCs w:val="32"/>
        </w:rPr>
        <w:t>暨南大学附属广州红十字会医院、广州泰康粤园医院</w:t>
      </w:r>
      <w:r>
        <w:rPr>
          <w:rFonts w:hint="default" w:ascii="Times New Roman" w:hAnsi="Times New Roman" w:eastAsia="仿宋_GB2312" w:cs="Times New Roman"/>
          <w:color w:val="000000"/>
          <w:sz w:val="32"/>
          <w:szCs w:val="32"/>
        </w:rPr>
        <w:t>等医院临床营养科</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Cs/>
          <w:color w:val="000000"/>
          <w:sz w:val="32"/>
          <w:szCs w:val="32"/>
        </w:rPr>
        <w:t>（11）汤臣倍健股份有限公司、广东速康特医食品科技有限公司、禾健生营养科技（广东）有限公司、医膳通(广东)信息技术有限公司、安利（中国）日用品有限公司、广东大光药业集团有限公司、广州金域医学检验中心有限公司等企业</w:t>
      </w:r>
    </w:p>
    <w:p>
      <w:pPr>
        <w:keepNext w:val="0"/>
        <w:keepLines w:val="0"/>
        <w:pageBreakBefore w:val="0"/>
        <w:widowControl w:val="0"/>
        <w:kinsoku/>
        <w:wordWrap/>
        <w:overflowPunct/>
        <w:topLinePunct w:val="0"/>
        <w:autoSpaceDE/>
        <w:autoSpaceDN/>
        <w:bidi w:val="0"/>
        <w:adjustRightInd w:val="0"/>
        <w:snapToGrid w:val="0"/>
        <w:spacing w:line="560" w:lineRule="exact"/>
        <w:ind w:firstLine="567" w:firstLineChars="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五、组建单位的科研能力状况、工作基础以及在平台中作用</w:t>
      </w:r>
    </w:p>
    <w:p>
      <w:pPr>
        <w:keepNext w:val="0"/>
        <w:keepLines w:val="0"/>
        <w:pageBreakBefore w:val="0"/>
        <w:widowControl w:val="0"/>
        <w:kinsoku/>
        <w:wordWrap/>
        <w:overflowPunct/>
        <w:topLinePunct w:val="0"/>
        <w:autoSpaceDE/>
        <w:autoSpaceDN/>
        <w:bidi w:val="0"/>
        <w:spacing w:line="560" w:lineRule="exact"/>
        <w:ind w:firstLine="567" w:firstLineChars="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（一）任务分工（标*的为每一项子任务的牵头单位）</w:t>
      </w:r>
      <w:r>
        <w:rPr>
          <w:rFonts w:hint="default" w:ascii="Times New Roman" w:hAnsi="Times New Roman" w:eastAsia="楷体_GB2312" w:cs="Times New Roman"/>
          <w:b w:val="0"/>
          <w:bCs/>
          <w:sz w:val="32"/>
          <w:szCs w:val="32"/>
          <w:lang w:eastAsia="zh-CN"/>
        </w:rPr>
        <w:t>。</w:t>
      </w:r>
    </w:p>
    <w:tbl>
      <w:tblPr>
        <w:tblStyle w:val="3"/>
        <w:tblW w:w="8460" w:type="dxa"/>
        <w:tblInd w:w="108" w:type="dxa"/>
        <w:tblLayout w:type="fixed"/>
        <w:tblCellMar>
          <w:top w:w="0" w:type="dxa"/>
          <w:left w:w="108" w:type="dxa"/>
          <w:bottom w:w="0" w:type="dxa"/>
          <w:right w:w="108" w:type="dxa"/>
        </w:tblCellMar>
      </w:tblPr>
      <w:tblGrid>
        <w:gridCol w:w="4320"/>
        <w:gridCol w:w="4140"/>
      </w:tblGrid>
      <w:tr>
        <w:tblPrEx>
          <w:tblLayout w:type="fixed"/>
          <w:tblCellMar>
            <w:top w:w="0" w:type="dxa"/>
            <w:left w:w="108" w:type="dxa"/>
            <w:bottom w:w="0" w:type="dxa"/>
            <w:right w:w="108" w:type="dxa"/>
          </w:tblCellMar>
        </w:tblPrEx>
        <w:trPr>
          <w:trHeight w:val="519" w:hRule="atLeast"/>
        </w:trPr>
        <w:tc>
          <w:tcPr>
            <w:tcW w:w="4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主要任务</w:t>
            </w:r>
          </w:p>
        </w:tc>
        <w:tc>
          <w:tcPr>
            <w:tcW w:w="41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olor w:val="000000"/>
                <w:kern w:val="0"/>
                <w:sz w:val="24"/>
                <w:szCs w:val="24"/>
              </w:rPr>
            </w:pPr>
            <w:r>
              <w:rPr>
                <w:rFonts w:hint="default" w:ascii="Times New Roman" w:hAnsi="Times New Roman" w:eastAsia="黑体" w:cs="Times New Roman"/>
                <w:b w:val="0"/>
                <w:bCs/>
                <w:color w:val="000000"/>
                <w:kern w:val="0"/>
                <w:sz w:val="24"/>
                <w:szCs w:val="24"/>
              </w:rPr>
              <w:t>参加单位</w:t>
            </w:r>
          </w:p>
        </w:tc>
      </w:tr>
      <w:tr>
        <w:tblPrEx>
          <w:tblLayout w:type="fixed"/>
          <w:tblCellMar>
            <w:top w:w="0" w:type="dxa"/>
            <w:left w:w="108" w:type="dxa"/>
            <w:bottom w:w="0" w:type="dxa"/>
            <w:right w:w="108" w:type="dxa"/>
          </w:tblCellMar>
        </w:tblPrEx>
        <w:trPr>
          <w:trHeight w:val="1545" w:hRule="atLeast"/>
        </w:trPr>
        <w:tc>
          <w:tcPr>
            <w:tcW w:w="432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任务一：开展岭南特色膳食的健康效应研究和岭南特色健康食品的筛选，建立健康的岭南营养膳食模式，降低慢病的发病风险。</w:t>
            </w:r>
          </w:p>
        </w:tc>
        <w:tc>
          <w:tcPr>
            <w:tcW w:w="41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中山大学公共卫生学院*、南方医科大学、广东医科大学、中山大学孙逸仙纪念医院、广东省公共卫生研究院</w:t>
            </w:r>
          </w:p>
        </w:tc>
      </w:tr>
      <w:tr>
        <w:tblPrEx>
          <w:tblLayout w:type="fixed"/>
          <w:tblCellMar>
            <w:top w:w="0" w:type="dxa"/>
            <w:left w:w="108" w:type="dxa"/>
            <w:bottom w:w="0" w:type="dxa"/>
            <w:right w:w="108" w:type="dxa"/>
          </w:tblCellMar>
        </w:tblPrEx>
        <w:trPr>
          <w:trHeight w:val="1834" w:hRule="atLeast"/>
        </w:trPr>
        <w:tc>
          <w:tcPr>
            <w:tcW w:w="432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任务二：</w:t>
            </w:r>
            <w:r>
              <w:rPr>
                <w:rFonts w:hint="default" w:ascii="Times New Roman" w:hAnsi="Times New Roman" w:eastAsia="宋体" w:cs="Times New Roman"/>
                <w:bCs/>
                <w:color w:val="000000"/>
                <w:sz w:val="24"/>
                <w:szCs w:val="24"/>
              </w:rPr>
              <w:t>在岭南地区定期开展</w:t>
            </w:r>
            <w:r>
              <w:rPr>
                <w:rFonts w:hint="default" w:ascii="Times New Roman" w:hAnsi="Times New Roman" w:eastAsia="宋体" w:cs="Times New Roman"/>
                <w:color w:val="000000"/>
                <w:sz w:val="24"/>
                <w:szCs w:val="24"/>
              </w:rPr>
              <w:t>营养监测、干预和评价和政策标准研究</w:t>
            </w:r>
            <w:r>
              <w:rPr>
                <w:rFonts w:hint="default" w:ascii="Times New Roman" w:hAnsi="Times New Roman" w:eastAsia="宋体" w:cs="Times New Roman"/>
                <w:bCs/>
                <w:color w:val="000000"/>
                <w:sz w:val="24"/>
                <w:szCs w:val="24"/>
              </w:rPr>
              <w:t>，提升健康状况监测评估水平和促进本地区的营养法规标准体系的完善。</w:t>
            </w:r>
          </w:p>
        </w:tc>
        <w:tc>
          <w:tcPr>
            <w:tcW w:w="41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广东省疾病预防控制中心*、</w:t>
            </w:r>
            <w:r>
              <w:rPr>
                <w:rFonts w:hint="default" w:ascii="Times New Roman" w:hAnsi="Times New Roman" w:eastAsia="宋体" w:cs="Times New Roman"/>
                <w:color w:val="000000"/>
                <w:kern w:val="0"/>
                <w:sz w:val="24"/>
                <w:szCs w:val="24"/>
              </w:rPr>
              <w:t>广东省公共卫生研究院、</w:t>
            </w:r>
            <w:r>
              <w:rPr>
                <w:rFonts w:hint="default" w:ascii="Times New Roman" w:hAnsi="Times New Roman" w:eastAsia="宋体" w:cs="Times New Roman"/>
                <w:bCs/>
                <w:color w:val="000000"/>
                <w:sz w:val="24"/>
                <w:szCs w:val="24"/>
              </w:rPr>
              <w:t>中山大学孙逸仙纪念医院、广东省人民医院、暨南大学附属广州红十字会医院、广州泰康粤园医院、广东省生物制品与药物研究所、医膳通(广东)信息技术有限公司、广州金域医学检验中心有限公司</w:t>
            </w:r>
          </w:p>
        </w:tc>
      </w:tr>
      <w:tr>
        <w:tblPrEx>
          <w:tblLayout w:type="fixed"/>
          <w:tblCellMar>
            <w:top w:w="0" w:type="dxa"/>
            <w:left w:w="108" w:type="dxa"/>
            <w:bottom w:w="0" w:type="dxa"/>
            <w:right w:w="108" w:type="dxa"/>
          </w:tblCellMar>
        </w:tblPrEx>
        <w:trPr>
          <w:trHeight w:val="812" w:hRule="atLeast"/>
        </w:trPr>
        <w:tc>
          <w:tcPr>
            <w:tcW w:w="432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任务三：</w:t>
            </w:r>
            <w:r>
              <w:rPr>
                <w:rFonts w:hint="default" w:ascii="Times New Roman" w:hAnsi="Times New Roman" w:eastAsia="宋体" w:cs="Times New Roman"/>
                <w:bCs/>
                <w:color w:val="000000"/>
                <w:sz w:val="24"/>
                <w:szCs w:val="24"/>
              </w:rPr>
              <w:t>开展食品安全风险评估研究，提升食品安全风险评估水平。</w:t>
            </w:r>
          </w:p>
        </w:tc>
        <w:tc>
          <w:tcPr>
            <w:tcW w:w="41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广东省疾病预防控制中心*、广东省公共卫生研究院、中山大学公共卫生学院、南方医科大学、广东省食品安全学会</w:t>
            </w:r>
          </w:p>
        </w:tc>
      </w:tr>
      <w:tr>
        <w:tblPrEx>
          <w:tblLayout w:type="fixed"/>
          <w:tblCellMar>
            <w:top w:w="0" w:type="dxa"/>
            <w:left w:w="108" w:type="dxa"/>
            <w:bottom w:w="0" w:type="dxa"/>
            <w:right w:w="108" w:type="dxa"/>
          </w:tblCellMar>
        </w:tblPrEx>
        <w:trPr>
          <w:trHeight w:val="458" w:hRule="atLeast"/>
        </w:trPr>
        <w:tc>
          <w:tcPr>
            <w:tcW w:w="432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任务四：</w:t>
            </w:r>
            <w:r>
              <w:rPr>
                <w:rFonts w:hint="default" w:ascii="Times New Roman" w:hAnsi="Times New Roman" w:eastAsia="宋体" w:cs="Times New Roman"/>
                <w:bCs/>
                <w:color w:val="000000"/>
                <w:sz w:val="24"/>
                <w:szCs w:val="24"/>
              </w:rPr>
              <w:t>开展岭南特色食品的转化研究，促进岭南食物营养健康产业快速发展。</w:t>
            </w:r>
          </w:p>
        </w:tc>
        <w:tc>
          <w:tcPr>
            <w:tcW w:w="41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Cs/>
                <w:color w:val="000000"/>
                <w:sz w:val="24"/>
                <w:szCs w:val="24"/>
              </w:rPr>
              <w:t>汤臣倍健股份有限公司*、广东速康特医食品科技有限公司、禾健生营养科技（广东）有限公司、安利（中国）日用品有限公司、广东大光药业集团有限公司、广东医科大学、广东食品药品职业学院、广东省疾病预防控制中心、广东省生物制品与药物研究所</w:t>
            </w:r>
          </w:p>
        </w:tc>
      </w:tr>
      <w:tr>
        <w:tblPrEx>
          <w:tblLayout w:type="fixed"/>
          <w:tblCellMar>
            <w:top w:w="0" w:type="dxa"/>
            <w:left w:w="108" w:type="dxa"/>
            <w:bottom w:w="0" w:type="dxa"/>
            <w:right w:w="108" w:type="dxa"/>
          </w:tblCellMar>
        </w:tblPrEx>
        <w:trPr>
          <w:trHeight w:val="2236" w:hRule="atLeast"/>
        </w:trPr>
        <w:tc>
          <w:tcPr>
            <w:tcW w:w="43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color w:val="000000"/>
                <w:kern w:val="0"/>
                <w:sz w:val="24"/>
                <w:szCs w:val="24"/>
              </w:rPr>
              <w:t>任务五：</w:t>
            </w:r>
            <w:r>
              <w:rPr>
                <w:rFonts w:hint="default" w:ascii="Times New Roman" w:hAnsi="Times New Roman" w:eastAsia="宋体" w:cs="Times New Roman"/>
                <w:bCs/>
                <w:color w:val="000000"/>
                <w:sz w:val="24"/>
                <w:szCs w:val="24"/>
              </w:rPr>
              <w:t>开展营养人才队伍培养和营养健康教育，完善营养人才培养与科普宣传。</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p>
        </w:tc>
        <w:tc>
          <w:tcPr>
            <w:tcW w:w="41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省营养学会*、广东省食品安全学会、广东省疾病预防控制中心、广东省公共卫生研究院、中山大学公共卫生学院、南方医科大学、广东医科大学、中山大学孙逸仙纪念医院、广东省人民医院、暨南大学附属广州红十字会医院</w:t>
            </w:r>
          </w:p>
        </w:tc>
      </w:tr>
      <w:tr>
        <w:tblPrEx>
          <w:tblLayout w:type="fixed"/>
          <w:tblCellMar>
            <w:top w:w="0" w:type="dxa"/>
            <w:left w:w="108" w:type="dxa"/>
            <w:bottom w:w="0" w:type="dxa"/>
            <w:right w:w="108" w:type="dxa"/>
          </w:tblCellMar>
        </w:tblPrEx>
        <w:trPr>
          <w:trHeight w:val="2393" w:hRule="atLeast"/>
        </w:trPr>
        <w:tc>
          <w:tcPr>
            <w:tcW w:w="432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任务六：</w:t>
            </w:r>
            <w:r>
              <w:rPr>
                <w:rFonts w:hint="default" w:ascii="Times New Roman" w:hAnsi="Times New Roman" w:eastAsia="宋体" w:cs="Times New Roman"/>
                <w:bCs/>
                <w:color w:val="000000"/>
                <w:sz w:val="24"/>
                <w:szCs w:val="24"/>
              </w:rPr>
              <w:t>以广东省营养膳食与健康重点实验室为依托，推动互联互通，加强营养健康基础数据利用与共享。</w:t>
            </w:r>
          </w:p>
        </w:tc>
        <w:tc>
          <w:tcPr>
            <w:tcW w:w="414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中山大学公共卫生学院*、南方医科大学、广东医科大学、广东省疾病预防控制中心、中山大学孙逸仙纪念医院、广东省人民医院、暨南大学附属广州红十字会医院、禾健生营养科技（广东）有限公司、医膳通(广东)信息技术有限公司、广东大光药业集团有限公司、广州金域医学检验中心有限公司</w:t>
            </w:r>
          </w:p>
        </w:tc>
      </w:tr>
    </w:tbl>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（二）参加单位的工作基础</w:t>
      </w:r>
      <w:r>
        <w:rPr>
          <w:rFonts w:hint="default" w:ascii="Times New Roman" w:hAnsi="Times New Roman" w:eastAsia="楷体_GB2312"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广东省营养学会</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广东省营养学会是经广东省民政厅依法注册的学术团体，由全省从事教学、科研、管理、生产等营养科学工作者、企业和相关单位自愿结合成立的学术性、非营利性的法人社会团体；接受广东省科学技术协会、广东省民政厅社团登记管理处和中国营养学会的业务指导和监督；是广东省科学技术协会的组成部分。</w:t>
      </w:r>
    </w:p>
    <w:p>
      <w:pPr>
        <w:keepNext w:val="0"/>
        <w:keepLines w:val="0"/>
        <w:pageBreakBefore w:val="0"/>
        <w:widowControl w:val="0"/>
        <w:kinsoku/>
        <w:wordWrap/>
        <w:overflowPunct/>
        <w:topLinePunct w:val="0"/>
        <w:autoSpaceDE/>
        <w:autoSpaceDN/>
        <w:bidi w:val="0"/>
        <w:adjustRightInd w:val="0"/>
        <w:snapToGrid w:val="0"/>
        <w:spacing w:line="560" w:lineRule="exact"/>
        <w:ind w:firstLine="576"/>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目前广东省营养学会下设有7个专业委员会、1个工作委员会和一所培训学校：包括临床营养专业委员会、妇幼营养专业委员会、公共营养专业委员会、营养教育与健康促进专业委员会、食品营养与分析专业委员会、营养与慢病管理专业委员会和肠道菌与营养健康专业委员会，此外，还成立了1个青年营养工作委员会，以及中卫营养职业培训学校。广东省营养学会目前共有各类会员2000余人，涵盖高校营养教育与研究、医院临床营养、食品科技、食品生产与研发等领域的营养学专业技术人员，汇聚了广东营养领域研究、研发、疾病防治，科普、人才培养等多领域的专家和技术人才。广东省营养学会</w:t>
      </w:r>
      <w:r>
        <w:rPr>
          <w:rFonts w:hint="default" w:ascii="Times New Roman" w:hAnsi="Times New Roman" w:eastAsia="仿宋_GB2312" w:cs="Times New Roman"/>
          <w:sz w:val="32"/>
          <w:szCs w:val="32"/>
        </w:rPr>
        <w:t>具备完成开展营养人才培养和营养健康教育等方面工作能力和条件。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广东省疾病预防控制中心</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广东省疾病预防控制中心是广东省卫生健康委员会直属单位，其长期以来在落实国民营养计划、合理膳食专项行动、食品安全风险监测与评估等方面做了大量工作，为我省居民营养健康政策的制定提供科学支撑。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居民膳食营养监测工作。组织开展了2010～2012年及2015年广东省居民膳食营养监测，根据调查结果分析了我省居民膳食摄入情况、相关健康行为（吸烟饮酒情况、体力活动）以及与高血压、糖尿病等相关慢性疾病的相关关系，并提出均衡膳食与慢病防控建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不断完善居民膳食消费基础数据。自2013年起，参与中国居民食品消费量调查，共组织完成23个调查点、15808人的居民食物消费量调查工作。自2018年起，开展广东省地方特色食品消费量调查，为开展我省居民食品安全风险评估积累了必需的基础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全面开展营养宣教、加强特定人群健康指导。围绕“全民营养周”为重点，以海报、短视频、知识演讲、编撰科普读物等多种形式向居民开展膳食营养知识宣教，多次获得中国营养学会的相关奖项。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长期、系统地收集本地食物信息、监测食物成分。自2012年起，每年参与国家卫健委组织的中国食物成分监测工作，完成谷物、水果、豆类、蔬菜、畜禽肉、成品菜肴等近千个食物样品的成分分析，持续完善了华南区域性食物成分数据库。为发展地方优势食物资源、引导健康饮食提供必要的基础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rPr>
        <w:t>推动健康政策的不断完善。以监测调查数据为支撑，积极推动《广东省国民营养计划（2017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sz w:val="32"/>
          <w:szCs w:val="32"/>
        </w:rPr>
        <w:t>2030年）实施方案》、《健康广东行动（2019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sz w:val="32"/>
          <w:szCs w:val="32"/>
        </w:rPr>
        <w:t>2030年）》等政策文件的出台，不断提升我省居民膳食营养与健康素养。近五年在BMC public health、</w:t>
      </w:r>
      <w:r>
        <w:rPr>
          <w:rFonts w:hint="default" w:ascii="Times New Roman" w:hAnsi="Times New Roman" w:eastAsia="仿宋_GB2312" w:cs="Times New Roman"/>
          <w:sz w:val="32"/>
          <w:szCs w:val="32"/>
        </w:rPr>
        <w:t>中国健康教育、</w:t>
      </w:r>
      <w:r>
        <w:rPr>
          <w:rFonts w:hint="default" w:ascii="Times New Roman" w:hAnsi="Times New Roman" w:eastAsia="仿宋_GB2312" w:cs="Times New Roman"/>
          <w:bCs/>
          <w:color w:val="000000"/>
          <w:sz w:val="32"/>
          <w:szCs w:val="32"/>
        </w:rPr>
        <w:t>中国公共卫生和中国食品学报等国内外期刊发表论文10 余篇。</w:t>
      </w:r>
      <w:r>
        <w:rPr>
          <w:rFonts w:hint="default" w:ascii="Times New Roman" w:hAnsi="Times New Roman" w:eastAsia="仿宋_GB2312" w:cs="Times New Roman"/>
          <w:sz w:val="32"/>
          <w:szCs w:val="32"/>
        </w:rPr>
        <w:t>编写</w:t>
      </w:r>
      <w:r>
        <w:rPr>
          <w:rFonts w:hint="default" w:ascii="Times New Roman" w:hAnsi="Times New Roman" w:eastAsia="仿宋_GB2312" w:cs="Times New Roman"/>
          <w:bCs/>
          <w:color w:val="000000"/>
          <w:sz w:val="32"/>
          <w:szCs w:val="32"/>
        </w:rPr>
        <w:t>《广东省居民膳食营养与健康状况十年变化分析》、《舌尖上的粤菜—营养标示图谱》、《广东省慢性病与营养监测报告2015》和《“挑食”宝典—饮食营养与安全》等专著4部。目前正参与国家卫健委食品司工作任务委托的“人群食物消费营养状况评价标准”、“学生营养膳食监测与评价技术指南”和“学生营养状况监测与评估技术指南”等3项相关标准的起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中心连续多年承担全省食品安全风险监测任务，受省食安办委托，是年度《广东省食品安全风险研判报告》的牵头起草单位。中心具有获卫健委、国家食品安全风险评估中心等认定或认可的多种实验室条件，其中包括：国家食品安全风险监测（广东）中心；国家食品安全风险监测参比实验室（重金属）；国家人体生物监测项目重点实验室；保健食品功能学检验机构；婴幼儿配方食品检验机构；特殊医学用途配方食品检验机构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广东省疾病预防控制中心具备完成开展重点人群营养监测，营养相关政策标准研究，食药物质健康风险因素监测、风险评估及岭南地方特色食品营养成分分析和转化研究、营养与健康科普宣传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3</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中山大学公共卫生学院</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中山大学公共卫生学院营养学系现有专任教师15人，其中教授9人、副教授4人、副研究员2人；博士生导师11人、硕士生导师2人。团队拥有“国家杰青”获得者1人，国务院特殊津贴专家1人，青年长江学者1人、国家“万人计划”1人、科技部创新人才推进计划中青年科技创新领军人才1人、教育部新世纪优秀人才1人、“广东省特支计划”科技创新青年拔尖人才1人、全国优秀博士学位论文获得者及指导教师各1人，中国营养学会杰出贡献奖获得者1人、中国营养学会百名英才2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营养学系所辖的主要学科营养与食品卫生学是1986年被批准为硕士学位授予点，是国内最早被批准的学科点之一，2003年获准为博士学位授予点。2007年被批准为广东省重点学科，2009年获得广东省营养膳食与健康重点实验室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营养学系围绕广东省营养膳食与健康重点实验室的建设，在相关的研究领域取得丰硕成果，获得的标志性研究项目，包括1项国家重点研发计划、国家重点基础研究发展计划（973项目）1项、科技部重大专项1项、国家“十一五”科技支撑计划1项、国家自然科学杰出青年基金1项、国家自然科学基金重点项目3项。在国内外有影响的刊物发表SCI学术论文500多篇，以通讯或第一作者发表的10分以上SCI论文14篇，包括Circulation、Diabetes Care、Circulation Res、J Clin Invest、Hepatology等。本学科相关的研究成果获教育部自然科学一等奖、广东省科学技术奖一等奖、高等学校科学研究优秀成果奖自然科学一等奖、中华医学科技奖二等奖以及中国营养学会营养科技成果二等奖。本学科参与了《中国居民膳食营养素参考摄入量》（DRIs）中的宏量营养素、维生素、矿物质和微量元素以及植物化学物的修订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中山大学公共卫生学院营养学系具备完成开展岭南特色膳食的健康效应研究及健康膳食模式的建立，食品安全风险评估研究，加强营养健康基础数据共享利用以及人才培养和营养健康教育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 xml:space="preserve">    4</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广东省食品安全学会</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广东省食品安全学会成立于2013年，是经广东省民政厅依法注册的学术团体，由全省从事食品教学、科研、食品安全管理、生产经营、检验检测及农产品生产管理等科学工作者、企业和相关单位自愿参与成立的学术性的法人社会团体。学会拥有强大的食品安全专家团队，聘请了58位专家作为学会的长期技术顾问。广东省食安办设立的食品安全专家委员会成员共20位专家，其中7位为学会特聘专家，占总体专家比例35%。</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在科普宣传、健康教育方面，广东省食品安全学会通过整合政府、行业专家、媒体、企业等多方力量，开展食品安全与营养计划科普宣传，普及食品安全和营养健康相关知识，促进公众建立科学的食品消费理念和食品安全观念，提高食品安全意识和预防、应对风险的能力，提高全民营养素质。宣传内容涵盖营养科学知识、科学膳食理念、营养科学方法、营养科学精神、食品安全的概念和内涵、食品安全与健康、食品安全标准、食品添加剂、食品加工与食品安全、食品安全法律法规、我国的食品安全监管体系等方面。宣传形式包括走进学校、走进社区开展培训、讲座，制作科普宣传单、科普宣传册、科普宣传画，通过媒体、网络等多种形式进行科普宣传。同时可以借助食品安全宣传周、全民营养周这种主题宣传活动，搭建多种交流平台，以多种形式、多个角度、多条途径，面向贴近社会公众，有针对性地开展风险交流、普及科普知识。</w:t>
      </w:r>
    </w:p>
    <w:p>
      <w:pPr>
        <w:keepNext w:val="0"/>
        <w:keepLines w:val="0"/>
        <w:pageBreakBefore w:val="0"/>
        <w:widowControl w:val="0"/>
        <w:kinsoku/>
        <w:wordWrap/>
        <w:overflowPunct/>
        <w:topLinePunct w:val="0"/>
        <w:autoSpaceDE/>
        <w:autoSpaceDN/>
        <w:bidi w:val="0"/>
        <w:adjustRightInd w:val="0"/>
        <w:snapToGrid w:val="0"/>
        <w:spacing w:line="560" w:lineRule="exact"/>
        <w:ind w:firstLine="576"/>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人才培训方面，广东省食品安全学会的师资力量雄厚，近40名讲师均拥有丰富的授课和实践经验，专业涵盖食品工程、公共卫生、预防医学、食品营养、质量管理等多个领域，其中评定为高级职称的讲师有二十余名，拥有国家注册营养师等。学会拥有200多平方米的教学场地，培训考试硬件设施完备，拥有丰富培训经验，能提供个性化需求培训，开发培训教材，开展各类培训，促进食品科技人才的成长和提高。</w:t>
      </w:r>
    </w:p>
    <w:p>
      <w:pPr>
        <w:keepNext w:val="0"/>
        <w:keepLines w:val="0"/>
        <w:pageBreakBefore w:val="0"/>
        <w:widowControl w:val="0"/>
        <w:kinsoku/>
        <w:wordWrap/>
        <w:overflowPunct/>
        <w:topLinePunct w:val="0"/>
        <w:autoSpaceDE/>
        <w:autoSpaceDN/>
        <w:bidi w:val="0"/>
        <w:adjustRightInd w:val="0"/>
        <w:snapToGrid w:val="0"/>
        <w:spacing w:line="560" w:lineRule="exact"/>
        <w:ind w:firstLine="576"/>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广东省食品安全学会具备完成开展</w:t>
      </w:r>
      <w:r>
        <w:rPr>
          <w:rFonts w:hint="default" w:ascii="Times New Roman" w:hAnsi="Times New Roman" w:eastAsia="仿宋_GB2312" w:cs="Times New Roman"/>
          <w:bCs/>
          <w:color w:val="000000"/>
          <w:sz w:val="32"/>
          <w:szCs w:val="32"/>
        </w:rPr>
        <w:t>食品安全风险评估研究、</w:t>
      </w:r>
      <w:r>
        <w:rPr>
          <w:rFonts w:hint="default" w:ascii="Times New Roman" w:hAnsi="Times New Roman" w:eastAsia="仿宋_GB2312" w:cs="Times New Roman"/>
          <w:sz w:val="32"/>
          <w:szCs w:val="32"/>
        </w:rPr>
        <w:t>营养人才培养和营养健康教育等方面工作能力和条件。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 xml:space="preserve">    5</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南方医科大学</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南方医科大学</w:t>
      </w:r>
      <w:r>
        <w:rPr>
          <w:rFonts w:hint="default" w:ascii="Times New Roman" w:hAnsi="Times New Roman" w:eastAsia="仿宋_GB2312" w:cs="Times New Roman"/>
          <w:sz w:val="32"/>
          <w:szCs w:val="32"/>
        </w:rPr>
        <w:t>公共卫生学院</w:t>
      </w:r>
      <w:r>
        <w:rPr>
          <w:rFonts w:hint="default" w:ascii="Times New Roman" w:hAnsi="Times New Roman" w:eastAsia="仿宋_GB2312" w:cs="Times New Roman"/>
          <w:bCs/>
          <w:color w:val="000000"/>
          <w:sz w:val="32"/>
          <w:szCs w:val="32"/>
        </w:rPr>
        <w:t>营养与食品卫生学系是二级学科博士、硕士学位授权点，教育部公共卫生硕士专业学科授权点。团队在膳食、营养与健康研究领域形成了4个稳定的具有优势和特色的研究方向：膳食营养与慢病防治、食物中生物活性成分与慢病防治、妇幼营养与健康、食品安全及保健食品功能评价。团队坚持理论研究与实践应用相结合，立足营养与食品安全相关研究领域前沿开展科学研究工作，取得丰硕成果。南方医科大学</w:t>
      </w:r>
      <w:r>
        <w:rPr>
          <w:rFonts w:hint="default" w:ascii="Times New Roman" w:hAnsi="Times New Roman" w:eastAsia="仿宋_GB2312" w:cs="Times New Roman"/>
          <w:sz w:val="32"/>
          <w:szCs w:val="32"/>
        </w:rPr>
        <w:t>公共卫生学院</w:t>
      </w:r>
      <w:r>
        <w:rPr>
          <w:rFonts w:hint="default" w:ascii="Times New Roman" w:hAnsi="Times New Roman" w:eastAsia="仿宋_GB2312" w:cs="Times New Roman"/>
          <w:bCs/>
          <w:color w:val="000000"/>
          <w:sz w:val="32"/>
          <w:szCs w:val="32"/>
        </w:rPr>
        <w:t>营养与食品卫生学团队具备完成开展岭南特色膳食的健康效应研究及健康膳食模式的建立，食品安全风险评估研究，加强营养健康基础数据共享利用以及人才培养和营养健康教育等多方面工作能力和条件。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6</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广东医科大学</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Cs/>
          <w:color w:val="000000"/>
          <w:sz w:val="32"/>
          <w:szCs w:val="32"/>
        </w:rPr>
        <w:t>广东医科大学</w:t>
      </w:r>
      <w:r>
        <w:rPr>
          <w:rFonts w:hint="default" w:ascii="Times New Roman" w:hAnsi="Times New Roman" w:eastAsia="仿宋_GB2312" w:cs="Times New Roman"/>
          <w:sz w:val="32"/>
          <w:szCs w:val="32"/>
        </w:rPr>
        <w:t>公共卫生学院营养与食品安全系教师研究方向聚焦功能食品开发、膳食营养与慢性病防治，特别是植物化学物与慢性病防治机制、植物活性成分抗肿瘤作用机理的研究，重点开展了花色苷、虾青素、海洋藻类（杜氏盐藻、螺旋藻、等鞭金藻、紫球藻、紫菜等）多肽和多糖对人体健康的调理作用的研究。目前在</w:t>
      </w:r>
      <w:r>
        <w:rPr>
          <w:rFonts w:hint="default" w:ascii="Times New Roman" w:hAnsi="Times New Roman" w:eastAsia="仿宋_GB2312" w:cs="Times New Roman"/>
          <w:color w:val="000000"/>
          <w:spacing w:val="15"/>
          <w:sz w:val="32"/>
          <w:szCs w:val="32"/>
        </w:rPr>
        <w:t>新产品研发与转化方面</w:t>
      </w:r>
      <w:r>
        <w:rPr>
          <w:rFonts w:hint="default" w:ascii="Times New Roman" w:hAnsi="Times New Roman" w:eastAsia="仿宋_GB2312" w:cs="Times New Roman"/>
          <w:sz w:val="32"/>
          <w:szCs w:val="32"/>
        </w:rPr>
        <w:t>，依托</w:t>
      </w:r>
      <w:r>
        <w:rPr>
          <w:rFonts w:hint="default" w:ascii="Times New Roman" w:hAnsi="Times New Roman" w:eastAsia="仿宋_GB2312" w:cs="Times New Roman"/>
          <w:color w:val="000000"/>
          <w:spacing w:val="15"/>
          <w:sz w:val="32"/>
          <w:szCs w:val="32"/>
        </w:rPr>
        <w:t>广东君道营养科技有限公司</w:t>
      </w:r>
      <w:r>
        <w:rPr>
          <w:rFonts w:hint="default" w:ascii="Times New Roman" w:hAnsi="Times New Roman" w:eastAsia="仿宋_GB2312" w:cs="Times New Roman"/>
          <w:sz w:val="32"/>
          <w:szCs w:val="32"/>
        </w:rPr>
        <w:t>，拟优化配方，添加富含花色苷、虾青素和海藻多糖提取物，研制以固体饮料、胶囊和口服液形式为主的新型健康食品。依照《特殊医学用途配方食品通则》、《特殊医学用途配方食品生产许可审查细则》、不同疾病人群营养治疗专家共识等政策及指导性文件，研发重型肝炎、尿毒症、2型糖尿病和肿瘤患者特殊医学用途食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广东医科大学公共卫生学院营养与食品安全系具备完成开展岭南特色膳食的健康效应研究及</w:t>
      </w:r>
      <w:r>
        <w:rPr>
          <w:rFonts w:hint="default" w:ascii="Times New Roman" w:hAnsi="Times New Roman" w:eastAsia="仿宋_GB2312" w:cs="Times New Roman"/>
          <w:bCs/>
          <w:color w:val="000000"/>
          <w:sz w:val="32"/>
          <w:szCs w:val="32"/>
        </w:rPr>
        <w:t>健康膳食模式的建立</w:t>
      </w:r>
      <w:r>
        <w:rPr>
          <w:rFonts w:hint="default" w:ascii="Times New Roman" w:hAnsi="Times New Roman" w:eastAsia="仿宋_GB2312" w:cs="Times New Roman"/>
          <w:sz w:val="32"/>
          <w:szCs w:val="32"/>
        </w:rPr>
        <w:t>，岭南特色食品的转化研究，加强营养健康基础数据共享利用以及人才培养和营养健康教育等多方面工作能力和条件。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7</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广东食品药品职业学院</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sz w:val="32"/>
          <w:szCs w:val="32"/>
        </w:rPr>
        <w:t>广东食品药品职业学院药食兼用资源利用与产品开发团队的研究方向是围绕广东省“十三五”国民经济发展迫切需要解决的问题，加快新资源食品的安全性评价和综合利用技术的开发应用，使信息技术成为农业生产的重要因素和新型农业生产力的重要支撑。集中攻克若干数字农业与农业信息的关键技术，研发一批适用于我省现代农业生产的信息化产品，逐步培育与发展农业信息化产业，使其成为我省农业产业领域新的增长点。同时，作为支撑技术支持我省现代农业物流、农产品电子商务、现代林业产业的发展。</w:t>
      </w:r>
      <w:r>
        <w:rPr>
          <w:rFonts w:hint="default" w:ascii="Times New Roman" w:hAnsi="Times New Roman" w:eastAsia="仿宋_GB2312" w:cs="Times New Roman"/>
          <w:color w:val="000000"/>
          <w:sz w:val="32"/>
          <w:szCs w:val="32"/>
        </w:rPr>
        <w:t>团队主要研究方向：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Cs/>
          <w:color w:val="000000"/>
          <w:sz w:val="32"/>
          <w:szCs w:val="32"/>
        </w:rPr>
        <w:t xml:space="preserve">  </w:t>
      </w:r>
      <w:r>
        <w:rPr>
          <w:rFonts w:hint="default" w:ascii="Times New Roman" w:hAnsi="Times New Roman" w:cs="Times New Roman"/>
          <w:b w:val="0"/>
          <w:bCs/>
          <w:color w:val="000000"/>
          <w:sz w:val="32"/>
          <w:szCs w:val="32"/>
          <w:lang w:val="en-US" w:eastAsia="zh-CN"/>
        </w:rPr>
        <w:t>(1)</w:t>
      </w:r>
      <w:r>
        <w:rPr>
          <w:rFonts w:hint="default" w:ascii="Times New Roman" w:hAnsi="Times New Roman" w:eastAsia="仿宋_GB2312" w:cs="Times New Roman"/>
          <w:sz w:val="32"/>
          <w:szCs w:val="32"/>
        </w:rPr>
        <w:t>传统食品现代化技术改造与产品研发。该主攻方向目标是形成一批具有自主知识产权、符合食品生产特点、价格适中、易操作实用的传统食品现代化生产技术。通过产学研联合方式，吸引部分农业龙头企业参与，共同培育和发展传统食品的高新技术产业。制订一定规范和标准，由机械化生产代替手工制作，实现传统食品的产品标准化、操作规范化、生产机械化、工艺科技化，用现代科学技术改造提升传统食品生产工艺，引进现代营销理念，创造新型生产方式，以形成一个全新的食品产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sz w:val="32"/>
          <w:szCs w:val="32"/>
        </w:rPr>
        <w:t>食药同源中药安全性评价与功能开发。利用代谢组学方法进行中药的安全性评价。通过分析与毒性密切相关的生物体液或组织中代谢产物随时间变化的关系，从“组学”的角度探究传统中药的毒性或安全性。在中药毒性作用的靶器官、中毒剂量、作用机制，生物标志物以及毒性物质基础等方面为中药安全性的评价提供新的研究方法和评价指标。研究建立全省食药同源中药资源共享数据库和检索系统；开发专用的食用安全性评价模型库；评价50种广东省主要食用新资源食品的功效和安全性；确定食药同源性中药用作的配伍禁忌和饮食对不同体质、性别、年龄人的宜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sz w:val="32"/>
          <w:szCs w:val="32"/>
        </w:rPr>
        <w:t>新资源食品绿色加工关键技术与应用。针对当前食品生产企业高污染高能耗的弊端，研究以系统理论为指导，协同多种技术方法、遵循可持续发展原则，产品出自良好的生态环境，按照特定生产方式生产，经专门机构认定，许可使用绿色食品标志的无污染的安全、优质、营养类食品。</w:t>
      </w:r>
    </w:p>
    <w:p>
      <w:pPr>
        <w:keepNext w:val="0"/>
        <w:keepLines w:val="0"/>
        <w:pageBreakBefore w:val="0"/>
        <w:widowControl w:val="0"/>
        <w:kinsoku/>
        <w:wordWrap/>
        <w:overflowPunct/>
        <w:topLinePunct w:val="0"/>
        <w:autoSpaceDE/>
        <w:autoSpaceDN/>
        <w:bidi w:val="0"/>
        <w:adjustRightInd w:val="0"/>
        <w:snapToGrid w:val="0"/>
        <w:spacing w:line="560" w:lineRule="exact"/>
        <w:ind w:firstLine="585"/>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广东食品药品职业学院药食兼用资源利用与产品开发团队</w:t>
      </w:r>
      <w:r>
        <w:rPr>
          <w:rFonts w:hint="default" w:ascii="Times New Roman" w:hAnsi="Times New Roman" w:eastAsia="仿宋_GB2312" w:cs="Times New Roman"/>
          <w:bCs/>
          <w:color w:val="000000"/>
          <w:sz w:val="32"/>
          <w:szCs w:val="32"/>
        </w:rPr>
        <w:t>具备完成开展</w:t>
      </w:r>
      <w:r>
        <w:rPr>
          <w:rFonts w:hint="default" w:ascii="Times New Roman" w:hAnsi="Times New Roman" w:eastAsia="仿宋_GB2312" w:cs="Times New Roman"/>
          <w:sz w:val="32"/>
          <w:szCs w:val="32"/>
        </w:rPr>
        <w:t>岭南特色食品的转化研究</w:t>
      </w:r>
      <w:r>
        <w:rPr>
          <w:rFonts w:hint="default" w:ascii="Times New Roman" w:hAnsi="Times New Roman" w:eastAsia="仿宋_GB2312" w:cs="Times New Roman"/>
          <w:bCs/>
          <w:color w:val="000000"/>
          <w:sz w:val="32"/>
          <w:szCs w:val="32"/>
        </w:rPr>
        <w:t>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8</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广东省公共卫生研究院</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color w:val="000000"/>
          <w:sz w:val="32"/>
          <w:szCs w:val="32"/>
        </w:rPr>
        <w:t>广东省公共卫生研究院为广东省疾病预防控制中心管理的直属单位，开展了大量营养与健康、食品安全风险评估和食品安全标准等方面的研究工作。如在营养与健康方面</w:t>
      </w:r>
      <w:r>
        <w:rPr>
          <w:rFonts w:hint="default" w:ascii="Times New Roman" w:hAnsi="Times New Roman" w:eastAsia="仿宋_GB2312" w:cs="Times New Roman"/>
          <w:kern w:val="0"/>
          <w:sz w:val="32"/>
          <w:szCs w:val="32"/>
        </w:rPr>
        <w:t>组织实施了2012年广东省营养与健康状况监测，2013年广东省0-5岁儿童和乳母营养与健康状况监测和2015年广东省居民慢性病与营养监测，2016、2017年广东省儿童与乳母营养健康监测，参与了2018年广东省居民慢性病与营养监测；组织实施了2013-2018年广东省食物成分监测；组织全省各地级市疾控中心在2014-2018年开展全省居民膳食营养健康宣传工作。开展了</w:t>
      </w:r>
      <w:r>
        <w:rPr>
          <w:rFonts w:hint="default" w:ascii="Times New Roman" w:hAnsi="Times New Roman" w:eastAsia="仿宋_GB2312" w:cs="Times New Roman"/>
          <w:sz w:val="32"/>
          <w:szCs w:val="32"/>
        </w:rPr>
        <w:t>广州市科技计划项目《常见粤菜营养标示图谱》（2014KP000096），中国营养学会—百胜餐饮健康基金《常见粤菜食物和营养成分构成及就餐者调查》、《基于图片识别技术的在外就餐人群实时营养评价APP开发》，“健康大鹏”战略规划基础数据建立和应用研究等营养相关科研项目。参与《人群食物消费营养状况评价标准》、《学生营养膳食监测与评价技术指南》、《学生营养状况监测与评估技术指南》等国家卫健委食品司委托的营养标准起草工作。</w:t>
      </w:r>
      <w:r>
        <w:rPr>
          <w:rFonts w:hint="default" w:ascii="Times New Roman" w:hAnsi="Times New Roman" w:eastAsia="仿宋_GB2312" w:cs="Times New Roman"/>
          <w:kern w:val="0"/>
          <w:sz w:val="32"/>
          <w:szCs w:val="32"/>
        </w:rPr>
        <w:t>2016年出版了《广东省居民膳食营养与健康状况十年变化分析》（中国标准出版社）；2017年出版了《舌尖上的粤菜-营养标识图谱》（人民卫生出版社），对在外就餐人群的食物选择和搭配有指导意义。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广东省公共卫生研究院具备完成开展岭南特色膳食的健康效应研究及健康膳食模式的建立，</w:t>
      </w:r>
      <w:r>
        <w:rPr>
          <w:rFonts w:hint="default" w:ascii="Times New Roman" w:hAnsi="Times New Roman" w:eastAsia="仿宋_GB2312" w:cs="Times New Roman"/>
          <w:color w:val="000000"/>
          <w:sz w:val="32"/>
          <w:szCs w:val="32"/>
        </w:rPr>
        <w:t>营养监测和</w:t>
      </w:r>
      <w:r>
        <w:rPr>
          <w:rFonts w:hint="default" w:ascii="Times New Roman" w:hAnsi="Times New Roman" w:eastAsia="仿宋_GB2312" w:cs="Times New Roman"/>
          <w:bCs/>
          <w:color w:val="000000"/>
          <w:sz w:val="32"/>
          <w:szCs w:val="32"/>
        </w:rPr>
        <w:t>政策标准研究，食品安全风险评估研究以及人才培养和营养健康教育等多方面工作能力和条件。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bCs/>
          <w:color w:val="000000"/>
          <w:sz w:val="32"/>
          <w:szCs w:val="32"/>
        </w:rPr>
        <w:t>9</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color w:val="000000"/>
          <w:kern w:val="0"/>
          <w:sz w:val="32"/>
          <w:szCs w:val="32"/>
        </w:rPr>
        <w:t>广东省生物制品与药物研究所</w:t>
      </w:r>
      <w:r>
        <w:rPr>
          <w:rFonts w:hint="default" w:ascii="Times New Roman" w:hAnsi="Times New Roman" w:eastAsia="仿宋_GB2312" w:cs="Times New Roman"/>
          <w:b/>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广东省生物制品与药物研究所是广东省疾病预防控制中心直属单位，在营养与食品安全领域，受省卫生健康委的委托，承担食品安全企业标准备案管理、指导、食品研究等工作，开展食品安全国家标准科普宣传与培训，开展广东省地方特色食品调查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目前，实验室总面积约3000平方米, 拥有全自动微生物鉴定分析仪、全自动微粒子化学发光免疫分析仪、实时荧光定量PCR仪、液相色谱质谱联用仪、电感耦合等离子质谱仪等仪器设备约950台（套），价值4500万元。拥有国家中医药科研二级实验室“中药分析与质量研究实验室”；获得广东省质量技术监督局颁发的资质认定（CMA）证书，获广东省二级病原微生物实验室备案；获广东省科技厅认定普通级、屏障级动物实验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0"/>
          <w:sz w:val="32"/>
          <w:szCs w:val="32"/>
        </w:rPr>
        <w:t>近年来，在食品安全地方标准、企业标准等领域，主要开展以下工作：</w:t>
      </w:r>
      <w:r>
        <w:rPr>
          <w:rFonts w:hint="default" w:ascii="Times New Roman" w:hAnsi="Times New Roman" w:eastAsia="仿宋_GB2312" w:cs="Times New Roman"/>
          <w:sz w:val="32"/>
          <w:szCs w:val="32"/>
        </w:rPr>
        <w:t>协助省卫健委解决食品如化橘红、海底椰、莲子芯等原料问题；参与制定包括《润喉糖》、《半固态复合调味料》、《广东黄酒》、《西樵大饼》、</w:t>
      </w:r>
      <w:r>
        <w:rPr>
          <w:rFonts w:hint="default" w:ascii="Times New Roman" w:hAnsi="Times New Roman" w:eastAsia="仿宋_GB2312" w:cs="Times New Roman"/>
          <w:color w:val="000000"/>
          <w:sz w:val="32"/>
          <w:szCs w:val="32"/>
        </w:rPr>
        <w:t>《白木香叶》、《结香白木香木》</w:t>
      </w:r>
      <w:r>
        <w:rPr>
          <w:rFonts w:hint="default" w:ascii="Times New Roman" w:hAnsi="Times New Roman" w:eastAsia="仿宋_GB2312" w:cs="Times New Roman"/>
          <w:sz w:val="32"/>
          <w:szCs w:val="32"/>
        </w:rPr>
        <w:t>等广东省食品安全地方标准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kern w:val="0"/>
          <w:sz w:val="32"/>
          <w:szCs w:val="32"/>
        </w:rPr>
        <w:t>参与对食品安全企业标准的技术评估，协助对食品安全企业标准的安全性、合法性、科学性把关。广东省生物制品与药物研究所</w:t>
      </w:r>
      <w:r>
        <w:rPr>
          <w:rFonts w:hint="default" w:ascii="Times New Roman" w:hAnsi="Times New Roman" w:eastAsia="仿宋_GB2312" w:cs="Times New Roman"/>
          <w:bCs/>
          <w:color w:val="000000"/>
          <w:sz w:val="32"/>
          <w:szCs w:val="32"/>
        </w:rPr>
        <w:t>具备完成开展</w:t>
      </w:r>
      <w:r>
        <w:rPr>
          <w:rFonts w:hint="default" w:ascii="Times New Roman" w:hAnsi="Times New Roman" w:eastAsia="仿宋_GB2312" w:cs="Times New Roman"/>
          <w:color w:val="000000"/>
          <w:sz w:val="32"/>
          <w:szCs w:val="32"/>
        </w:rPr>
        <w:t>营养监测和</w:t>
      </w:r>
      <w:r>
        <w:rPr>
          <w:rFonts w:hint="default" w:ascii="Times New Roman" w:hAnsi="Times New Roman" w:eastAsia="仿宋_GB2312" w:cs="Times New Roman"/>
          <w:bCs/>
          <w:color w:val="000000"/>
          <w:sz w:val="32"/>
          <w:szCs w:val="32"/>
        </w:rPr>
        <w:t>政策标准研究以及岭南特色食品的转化研究等方面工作能力和条件。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color w:val="000000"/>
          <w:sz w:val="32"/>
          <w:szCs w:val="32"/>
        </w:rPr>
        <w:t>10</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中山大学孙逸仙纪念医院</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中山大学孙逸仙纪念医院临床营养科团队一直致力于将理论研究转化为实践应用，取得了良好的成果。主要开展研究方向包括：①膳食营养与慢性病防治。主要研究膳食营养（重点关注膳食模式、膳食血糖负荷等）与慢性非传染性疾病（如糖尿病、肥胖、肾病等）的关系及其防治作用。②营养筛查、肠内肠外营养干预与疾病治疗。主要开展营养筛查与评估、肠内肠外营养等干预措施与住院患者疾病预后的关系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长期以来，利用自己的工作特长开展了大量的社会性公益服务活动，积极开展社会服务、举办多种形式的营养宣教、科普讲座、社会帮扶等活动和工作。累积发表营养类科普文章千余篇，平均每年主讲科普讲座（包括电视台主讲嘉宾）百余场次，在知名媒体杂志上累积发表营养采访文章200余篇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中山大学孙逸仙纪念医院临床营养科团队具备完成开展岭南特色膳食的健康效应研究及健康膳食模式的建立，营养监测、干预和评价，</w:t>
      </w:r>
      <w:r>
        <w:rPr>
          <w:rFonts w:hint="default" w:ascii="Times New Roman" w:hAnsi="Times New Roman" w:eastAsia="仿宋_GB2312" w:cs="Times New Roman"/>
          <w:bCs/>
          <w:color w:val="000000"/>
          <w:sz w:val="32"/>
          <w:szCs w:val="32"/>
        </w:rPr>
        <w:t>营养相关政策标准研究，</w:t>
      </w:r>
      <w:r>
        <w:rPr>
          <w:rFonts w:hint="default" w:ascii="Times New Roman" w:hAnsi="Times New Roman" w:eastAsia="仿宋_GB2312" w:cs="Times New Roman"/>
          <w:sz w:val="32"/>
          <w:szCs w:val="32"/>
        </w:rPr>
        <w:t>加强营养健康基础数据共享利用以及人才培养和营养健康教育等多方面工作能力和条件。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sz w:val="32"/>
          <w:szCs w:val="32"/>
        </w:rPr>
        <w:t>11</w:t>
      </w:r>
      <w:r>
        <w:rPr>
          <w:rFonts w:hint="eastAsia" w:ascii="仿宋_GB2312" w:hAnsi="仿宋_GB2312" w:eastAsia="仿宋_GB2312" w:cs="仿宋_GB2312"/>
          <w:b/>
          <w:sz w:val="32"/>
          <w:szCs w:val="32"/>
        </w:rPr>
        <w:t>.</w:t>
      </w:r>
      <w:r>
        <w:rPr>
          <w:rFonts w:hint="default" w:ascii="Times New Roman" w:hAnsi="Times New Roman" w:eastAsia="仿宋_GB2312" w:cs="Times New Roman"/>
          <w:b/>
          <w:sz w:val="32"/>
          <w:szCs w:val="32"/>
        </w:rPr>
        <w:t>广东省人民医院</w:t>
      </w:r>
      <w:r>
        <w:rPr>
          <w:rFonts w:hint="default" w:ascii="Times New Roman" w:hAnsi="Times New Roman" w:eastAsia="仿宋_GB2312" w:cs="Times New Roman"/>
          <w:b/>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z w:val="32"/>
          <w:szCs w:val="32"/>
        </w:rPr>
        <w:t>广东省人民医院营养科</w:t>
      </w:r>
      <w:r>
        <w:rPr>
          <w:rFonts w:hint="default" w:ascii="Times New Roman" w:hAnsi="Times New Roman" w:eastAsia="仿宋_GB2312" w:cs="Times New Roman"/>
          <w:color w:val="000000"/>
          <w:sz w:val="32"/>
          <w:szCs w:val="32"/>
        </w:rPr>
        <w:t>曾获</w:t>
      </w:r>
      <w:r>
        <w:rPr>
          <w:rFonts w:hint="default" w:ascii="Times New Roman" w:hAnsi="Times New Roman" w:eastAsia="仿宋_GB2312" w:cs="Times New Roman"/>
          <w:color w:val="000000"/>
          <w:kern w:val="0"/>
          <w:sz w:val="32"/>
          <w:szCs w:val="32"/>
        </w:rPr>
        <w:t>中国营养学会“</w:t>
      </w:r>
      <w:r>
        <w:rPr>
          <w:rFonts w:hint="default" w:ascii="Times New Roman" w:hAnsi="Times New Roman" w:eastAsia="仿宋_GB2312" w:cs="Times New Roman"/>
          <w:color w:val="000000"/>
          <w:sz w:val="32"/>
          <w:szCs w:val="32"/>
        </w:rPr>
        <w:t>中国医院临床营养科综合影响力提名奖”。2016年创建</w:t>
      </w:r>
      <w:r>
        <w:rPr>
          <w:rFonts w:hint="default" w:ascii="Times New Roman" w:hAnsi="Times New Roman" w:eastAsia="仿宋_GB2312" w:cs="Times New Roman"/>
          <w:color w:val="000000"/>
          <w:kern w:val="0"/>
          <w:sz w:val="32"/>
          <w:szCs w:val="32"/>
        </w:rPr>
        <w:t>“粤营养越健康”微信科普平台并</w:t>
      </w:r>
      <w:r>
        <w:rPr>
          <w:rFonts w:hint="default" w:ascii="Times New Roman" w:hAnsi="Times New Roman" w:eastAsia="仿宋_GB2312" w:cs="Times New Roman"/>
          <w:color w:val="000000"/>
          <w:sz w:val="32"/>
          <w:szCs w:val="32"/>
        </w:rPr>
        <w:t>获“中国营养学会科学技术奖”三等奖</w:t>
      </w:r>
      <w:r>
        <w:rPr>
          <w:rFonts w:hint="default" w:ascii="Times New Roman" w:hAnsi="Times New Roman" w:eastAsia="仿宋_GB2312" w:cs="Times New Roman"/>
          <w:color w:val="000000"/>
          <w:kern w:val="0"/>
          <w:sz w:val="32"/>
          <w:szCs w:val="32"/>
        </w:rPr>
        <w:t>。近年来</w:t>
      </w:r>
      <w:r>
        <w:rPr>
          <w:rFonts w:hint="default" w:ascii="Times New Roman" w:hAnsi="Times New Roman" w:eastAsia="仿宋_GB2312" w:cs="Times New Roman"/>
          <w:color w:val="000000"/>
          <w:sz w:val="32"/>
          <w:szCs w:val="32"/>
        </w:rPr>
        <w:t>主持广州市民生科技攻关计划“中国特色糖尿病专用特殊医学用途配方食品研发及其临床应用效果评价”项目1项、广东省科技厅项目1项等；</w:t>
      </w:r>
      <w:r>
        <w:rPr>
          <w:rFonts w:hint="default" w:ascii="Times New Roman" w:hAnsi="Times New Roman" w:eastAsia="仿宋_GB2312" w:cs="Times New Roman"/>
          <w:iCs/>
          <w:color w:val="000000"/>
          <w:sz w:val="32"/>
          <w:szCs w:val="32"/>
        </w:rPr>
        <w:t>主编《</w:t>
      </w:r>
      <w:r>
        <w:rPr>
          <w:rFonts w:hint="default" w:ascii="Times New Roman" w:hAnsi="Times New Roman" w:eastAsia="仿宋_GB2312" w:cs="Times New Roman"/>
          <w:color w:val="000000"/>
          <w:sz w:val="32"/>
          <w:szCs w:val="32"/>
        </w:rPr>
        <w:t>营养防治高血压》，</w:t>
      </w:r>
      <w:r>
        <w:rPr>
          <w:rFonts w:hint="default" w:ascii="Times New Roman" w:hAnsi="Times New Roman" w:eastAsia="仿宋_GB2312" w:cs="Times New Roman"/>
          <w:iCs/>
          <w:color w:val="000000"/>
          <w:sz w:val="32"/>
          <w:szCs w:val="32"/>
        </w:rPr>
        <w:t>副主编《普通外科营养学》</w:t>
      </w:r>
      <w:r>
        <w:rPr>
          <w:rFonts w:hint="default" w:ascii="Times New Roman" w:hAnsi="Times New Roman" w:eastAsia="仿宋_GB2312" w:cs="Times New Roman"/>
          <w:color w:val="000000"/>
          <w:sz w:val="32"/>
          <w:szCs w:val="32"/>
        </w:rPr>
        <w:t>，参编《肿瘤营养学》、《医疗膳食学》、《2013版中国居民膳食营养素参考摄入量（DRIs）》、《老年营养学》、《常见病营养72问》、《超重/肥胖医学营养治疗专家共识》等。</w:t>
      </w:r>
      <w:r>
        <w:rPr>
          <w:rFonts w:hint="default" w:ascii="Times New Roman" w:hAnsi="Times New Roman" w:eastAsia="仿宋_GB2312" w:cs="Times New Roman"/>
          <w:bCs/>
          <w:color w:val="000000"/>
          <w:sz w:val="32"/>
          <w:szCs w:val="32"/>
        </w:rPr>
        <w:t>广东</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bCs/>
          <w:color w:val="000000"/>
          <w:sz w:val="32"/>
          <w:szCs w:val="32"/>
        </w:rPr>
        <w:t>人民医院营养科</w:t>
      </w:r>
      <w:r>
        <w:rPr>
          <w:rFonts w:hint="default" w:ascii="Times New Roman" w:hAnsi="Times New Roman" w:eastAsia="仿宋_GB2312" w:cs="Times New Roman"/>
          <w:color w:val="000000"/>
          <w:sz w:val="32"/>
          <w:szCs w:val="32"/>
        </w:rPr>
        <w:t>团队</w:t>
      </w:r>
      <w:r>
        <w:rPr>
          <w:rFonts w:hint="default" w:ascii="Times New Roman" w:hAnsi="Times New Roman" w:eastAsia="仿宋_GB2312" w:cs="Times New Roman"/>
          <w:bCs/>
          <w:color w:val="000000"/>
          <w:sz w:val="32"/>
          <w:szCs w:val="32"/>
        </w:rPr>
        <w:t>具备完成开展营养监测、干预和评价，特医食品研发，加强营养健康基础数据共享利用以及人才培养和营养健康教育等多方面工作能力和条件。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12</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暨南大学附属广州红十字会医院</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暨南大学附属广州红十字会医院为大型三甲医院，是暨南大学的硕士和博士研究生培养基地。近年临床病态营养研究所获得“广东省代谢性疾病临床营养重点科研平台建设基地和陈香美院士工作站”，“广州市代谢性疾病临床营养重点实验室”、“广州市临床医学转化中心（代谢性疾病临床营养方向）”等平台。临床营养科为广东省高水平临床重点专科，以糖尿病、妊娠期糖尿病、慢性肾病、肥胖、肿瘤围手术期患者为核心病种，联合肾内科、内分泌科以及周边医联体社区中心建立了代谢性疾病的队列，在肾病营养基础，尤其是低蛋白饮食的基础和临床研究方面做了一些工作，获得了广州市科学进步奖和广东省医学科技奖等奖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暨南大学附属广州红十字会医院具备完成开展营养监测、干预和评价，临床营养管理、相关政策的研究，加强营养健康基础数据共享利用以及人才培养和营养健康教育等多方面工作能力和条件。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color w:val="000000"/>
          <w:sz w:val="32"/>
          <w:szCs w:val="32"/>
        </w:rPr>
        <w:t>13</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sz w:val="32"/>
          <w:szCs w:val="32"/>
        </w:rPr>
        <w:t>广州泰康粤园医院</w:t>
      </w:r>
      <w:r>
        <w:rPr>
          <w:rFonts w:hint="default" w:ascii="Times New Roman" w:hAnsi="Times New Roman" w:eastAsia="仿宋_GB2312" w:cs="Times New Roman"/>
          <w:b/>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广州泰康粤园医院以健康管理、社区医疗、疾病预防、常见病多发病、慢性疾病医疗为主，采取综合医疗、康复训练、住院护理等开展医疗康复护理服务。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合理的营养有助于延缓衰老，而营养不良或营养过盛、紊乱则有可能加速衰老的进程，为加强老年保健、延缓衰老进程、防治各种老年常见病，达到健康长寿和提高生命质量的目的，老年营养是医院一直以来的关注重点。目前医院有2名专职营养师，旨在通过膳食指导、研发适合老年人的营养食品和食谱，改善老年人的营养状况，努力提高养老机构和社区养老服务质量，促进老年营养事业健康发展，使更多的老年人健康幸福地安度晚年，实现成功老龄化。</w:t>
      </w:r>
      <w:r>
        <w:rPr>
          <w:rFonts w:hint="default" w:ascii="Times New Roman" w:hAnsi="Times New Roman" w:eastAsia="仿宋_GB2312" w:cs="Times New Roman"/>
          <w:sz w:val="32"/>
          <w:szCs w:val="32"/>
        </w:rPr>
        <w:t>广州泰康粤园医院</w:t>
      </w:r>
      <w:r>
        <w:rPr>
          <w:rFonts w:hint="default" w:ascii="Times New Roman" w:hAnsi="Times New Roman" w:eastAsia="仿宋_GB2312" w:cs="Times New Roman"/>
          <w:bCs/>
          <w:color w:val="000000"/>
          <w:sz w:val="32"/>
          <w:szCs w:val="32"/>
        </w:rPr>
        <w:t>具备完成开展老年人群营养监测、干预和评价等方面工作能力和条件。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14</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汤臣倍健股份有限公司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汤臣倍健股份有限公司创立于1995年10月，2002年系统地将膳食补充剂引入中国非直销领域，并迅速成长为中国膳食补充剂领导品牌和标杆企业。公司主要从事保健食品的研发、生产和销售。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汤臣倍健拥有一支由资深保健食品研发专家、医学专家、营养学研究人员、微生物研究人员等两百余人组成的的专业研发团队。汤臣倍健现已建成广东省院士专家企业工作站、博士后科研工作站等研发平台，并携手国内外营养界知名科研机构及全球优质原料供应商共建精准营养科研转化产业联盟、营养与抗衰老研究中心等多个产学研合作平台，目前拥有4个省级研发平台，分别为：国家博士后科研工作站分站、广东省院士工作站、广东省省级企业技术中心、广东省工程技术研究中心。投入使用的大型科研实验室主要包括小试实验室、中试研发平台、分析检测中心。其中分析检测中心于2013年经中国合格评定国家认可委员会（CNAS）认定，正式授予CNAS认可证书；2017年通过BRC（BRC Food Technical Standard）认证并获得A级证书、FAPAS国际能力验证。目前公司共拥有144个营养素补充剂和保健食品批准证书，90个备案凭证；共拥有有效专利使用权199项，含50项发明专利、63项实用新型专利、86项外观专利。汤臣倍健股份有限公司具备完成开展岭南特色食品的转化研究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15</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广东速康特医食品科技有限公司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广东速康特医食品科技有限公司主要从事特殊医学用途配方食品（简称：FSMP）和营养产品的研发、科普与运营。特殊医学用途配方食品主要为特殊生理阶段及病理状态下的人群提供营养支持，广泛应用于临床各科室，对维护疾病状态下人群的生理功能、促进疾病康复具有重要作用。大量循证医学研究证实，特殊医学用途配方食品的合理应用有助于改善营养不良患者的临床结局，在增加患者抵抗力、缩短住院时间、加速康复、明显降低并发症、节省医疗费用支出等方面效果显著，具有重大的经济和社会价值。因此，无论从经济效益、发展前景、市场需求方面，还是从国计民生、社会效益方面，发展特殊医学用途配方食品和特殊膳食对促进我国医疗卫生事业发展、提升国民健康水平均具有重要意义。广东速康特医食品科技有限公司具备完成开展岭南特色食品的转化研究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16</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禾健生营养科技（广东）有限公司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禾健生营养科技（广东）有限公司拥有供应链及营销服务平台，提供特医等营养产品的研发、生产和营销；拥有营养智能化管理平台，提供临床营养管理系统和专病专科临床营养管理及服务；拥有360专业营养服务体系，提供临床营养学科建设服务、临床营养专科专病服务、特定疾病人群多元化服务等；拥有国内知名营养专家顾问团队、台湾营养专家团队和营养师职群；建立了专业营养培训体系，为临床营养师开展专病专科营养专业培训；建立了用户服务体系，搭建营养大数据（采析读）平台。禾健生营养科技（广东）有限公司具备完成开展</w:t>
      </w:r>
      <w:r>
        <w:rPr>
          <w:rFonts w:hint="default" w:ascii="Times New Roman" w:hAnsi="Times New Roman" w:eastAsia="仿宋_GB2312" w:cs="Times New Roman"/>
          <w:sz w:val="32"/>
          <w:szCs w:val="32"/>
        </w:rPr>
        <w:t>岭南特色食品的转化研究、</w:t>
      </w:r>
      <w:r>
        <w:rPr>
          <w:rFonts w:hint="default" w:ascii="Times New Roman" w:hAnsi="Times New Roman" w:eastAsia="仿宋_GB2312" w:cs="Times New Roman"/>
          <w:bCs/>
          <w:color w:val="000000"/>
          <w:sz w:val="32"/>
          <w:szCs w:val="32"/>
        </w:rPr>
        <w:t>临床营养管理研究以及</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bCs/>
          <w:color w:val="000000"/>
          <w:sz w:val="32"/>
          <w:szCs w:val="32"/>
        </w:rPr>
        <w:t>营养健康基础数据共享利用等方面工作能力和条件。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17</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医膳通(广东)信息技术有限公司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医膳通(广东)信息技术有限公司专注全方位临床营养管理解决方案的研究、系统研发与推广等工作，并陆续推出在临床营养界具有高度影响力的《智慧营养管理云平台》、《膳理易小程序》、《临床营养质控中心》三大系统，分别解决院内营养管理、居家营养管理，政府区域营养质控管理三大痛点，成功地协助数十家医院和健康管理公司执行智慧营养管理工作。医膳通(广东)信息技术有限公司深耕医疗营养管理行业近三年半，积累了庞大的临床营养管理数据；深度合作客户遍布全国各地，拥有行业内最具实力的专业研发与学术顾问团队。医膳通(广东)信息技术有限公司具备完成开展临床营养管理研究</w:t>
      </w:r>
      <w:r>
        <w:rPr>
          <w:rFonts w:hint="default" w:ascii="Times New Roman" w:hAnsi="Times New Roman" w:eastAsia="仿宋_GB2312" w:cs="Times New Roman"/>
          <w:sz w:val="32"/>
          <w:szCs w:val="32"/>
        </w:rPr>
        <w:t>以及加强</w:t>
      </w:r>
      <w:r>
        <w:rPr>
          <w:rFonts w:hint="default" w:ascii="Times New Roman" w:hAnsi="Times New Roman" w:eastAsia="仿宋_GB2312" w:cs="Times New Roman"/>
          <w:bCs/>
          <w:color w:val="000000"/>
          <w:sz w:val="32"/>
          <w:szCs w:val="32"/>
        </w:rPr>
        <w:t>营养健康基础数据共享利用等方面工作能力和条件。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18</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安利（中国）日用品有限公司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美国安利公司创建于1959年，目前业务遍及全球80多个国家和地区，是全球第一大直销公司。安利（中国）日用品有限公司创立于1995年，总部设在广州中信广场，生产基地位于广州经济技术开发区，现容纳41条生产线，其中食品和保健食品生产线共13条。在中国，安利公司共生产经营24款保健食品以及多个系列的普通食品和饮料，包括益生菌系列、内服润养系列、体重管理系列、儿童成长系列、以及XS运动和营养系列等。此外，公司通过海外购渠道提供6款纽崔莱营养食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产品研发上，成立了纽崔莱营养与健康研究中心、安利（中国）研发中心有限公司和安利（中国）植物研发中心，与中国科学院药物所、北京大学医学部、中山大学医学院等15所大学及科研机构合作，参与多个国家级项目。2005年，安利（中国）质管实验室获得中国合格评定国家认可委员会（CNAS）颁发的证书，是直销业内较早获该认证的实验室。公司连续多年获得了国家级和主管部门的表彰和认可，例如，连续六年获得“全国产品和服务质量诚信示范企业”称号 (2017年，中国质量检验协会)；全国食品安全管理创新二十佳案例（2016年和2015年，中国食品安全年会）；广东省保健食品安全示范单位（2013年，广东省食品药品监督管理局）等。安利（中国）日用品有限公司具备完成开展岭南特色食品的转化研究方面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19</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广东大光药业集团有限公司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广东大光药业集团有限公司成立于1994年，经过20多年创新发展，现发展成为主营业务覆盖医药研发、药品生产、药品销售、大健康产业为一体的现代化集团公司。大光集团致力成为领先的医药与健康资源整合者，并将澳大利亚的高品质营养乳制品KingsKuma皇室澳玛儿引进中国，皇室澳玛儿侧重全家营养，含括提高免疫力的乳铁蛋白粉以及针对不同人群适宜奶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大光集团拥有自主研发中心和专业技术的高学历研发人才队伍，与中山大学孙逸仙纪念医院、广东省中医院等院校联合研发，共享资源，同时成为广东食品药品职业学院、南方医科大学等多所高等院校的实习基地。大光集团获得国际PCT专利4项，美国专利授权1项，国内专利授权8项，其中蛹虫草菌粉及蛹虫草菌粉胶囊获得国家专利证书以及国家一类新药证书，同时还获得GMP认证、高新技术企业、广州市企业研究开发机构、广州市科技创新小巨人等众多荣誉。大光集团拥有公共卫生管理系统、临床研究EDC、医学培训平台、患者教育系统、老年病患者管理平台、移动处方管理系统、医药市场调研等10余个系统。广东大光药业集团有限公司具备完成开展岭南特色食品的转化研究和</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bCs/>
          <w:color w:val="000000"/>
          <w:sz w:val="32"/>
          <w:szCs w:val="32"/>
        </w:rPr>
        <w:t>营养健康基础数据共享利用</w:t>
      </w:r>
      <w:r>
        <w:rPr>
          <w:rFonts w:hint="default" w:ascii="Times New Roman" w:hAnsi="Times New Roman" w:eastAsia="仿宋_GB2312" w:cs="Times New Roman"/>
          <w:color w:val="000000"/>
          <w:sz w:val="32"/>
          <w:szCs w:val="32"/>
        </w:rPr>
        <w:t>等方面</w:t>
      </w:r>
      <w:r>
        <w:rPr>
          <w:rFonts w:hint="default" w:ascii="Times New Roman" w:hAnsi="Times New Roman" w:eastAsia="仿宋_GB2312" w:cs="Times New Roman"/>
          <w:bCs/>
          <w:color w:val="000000"/>
          <w:sz w:val="32"/>
          <w:szCs w:val="32"/>
        </w:rPr>
        <w:t>工作能力和条件。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20</w:t>
      </w:r>
      <w:r>
        <w:rPr>
          <w:rFonts w:hint="eastAsia" w:ascii="仿宋_GB2312" w:hAnsi="仿宋_GB2312" w:eastAsia="仿宋_GB2312" w:cs="仿宋_GB2312"/>
          <w:b/>
          <w:bCs/>
          <w:color w:val="000000"/>
          <w:sz w:val="32"/>
          <w:szCs w:val="32"/>
        </w:rPr>
        <w:t>.</w:t>
      </w:r>
      <w:r>
        <w:rPr>
          <w:rFonts w:hint="default" w:ascii="Times New Roman" w:hAnsi="Times New Roman" w:eastAsia="仿宋_GB2312" w:cs="Times New Roman"/>
          <w:b/>
          <w:bCs/>
          <w:color w:val="000000"/>
          <w:sz w:val="32"/>
          <w:szCs w:val="32"/>
        </w:rPr>
        <w:t>广州金域医学检验中心有限公司</w:t>
      </w:r>
      <w:r>
        <w:rPr>
          <w:rFonts w:hint="default" w:ascii="Times New Roman" w:hAnsi="Times New Roman" w:eastAsia="仿宋_GB2312" w:cs="Times New Roman"/>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sz w:val="32"/>
          <w:szCs w:val="32"/>
        </w:rPr>
        <w:t>广州金域医学检验中心有限公司</w:t>
      </w:r>
      <w:r>
        <w:rPr>
          <w:rFonts w:hint="default" w:ascii="Times New Roman" w:hAnsi="Times New Roman" w:eastAsia="仿宋_GB2312" w:cs="Times New Roman"/>
          <w:color w:val="000000"/>
          <w:kern w:val="0"/>
          <w:sz w:val="32"/>
          <w:szCs w:val="32"/>
        </w:rPr>
        <w:t>是一家以第三方医学检验及病理诊断业务为核心的高科技服务企业。目前已在内地及香港地区建立了37家省级中心医学实验室，可提供超过2700项检测项目。年检测标本量超7000万例，积累了全球领先的东方人种大样本、大数据库。</w:t>
      </w:r>
      <w:r>
        <w:rPr>
          <w:rFonts w:hint="default" w:ascii="Times New Roman" w:hAnsi="Times New Roman" w:eastAsia="仿宋_GB2312" w:cs="Times New Roman"/>
          <w:color w:val="000000"/>
          <w:sz w:val="32"/>
          <w:szCs w:val="32"/>
        </w:rPr>
        <w:t>在营养检测方面，可提供维生素、微量元素、氨基酸、脂肪酸等多项检测，目前已经发表140万维生素D的检测大数据。</w:t>
      </w:r>
      <w:r>
        <w:rPr>
          <w:rFonts w:hint="default" w:ascii="Times New Roman" w:hAnsi="Times New Roman" w:eastAsia="仿宋_GB2312" w:cs="Times New Roman"/>
          <w:color w:val="000000"/>
          <w:kern w:val="0"/>
          <w:sz w:val="32"/>
          <w:szCs w:val="32"/>
        </w:rPr>
        <w:t>公司注重搭建国际化高端化人才和团队，拥有硕士以上学历500余人，海内外知名专家200余人。服务网络覆盖全国90% 以上人口所在区域，并以香港为桥头堡，服务粤港澳大湾区以及“一带一路”沿线国家和地区。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金域医学严格遵循国际标准，拥有先进的质量管理体系。截至2019年，共获得包括美国CAP、ISO15189在内的国内外认证认可证书38张，连续17年领先行业。检测结果为全球50多个国家和地区认可。目前，金域医学正以第三方医检为主航道，通过大技术平台、大服务网络和大样本、大数据库，努力构建“医检+”生态圈，加快大样本、大数据在医检技术创新、人工智能方面的应用；同时不断完善临床药物试验、卫生检验、健康体检、司法鉴定等关联产业的发展。</w:t>
      </w:r>
      <w:r>
        <w:rPr>
          <w:rFonts w:hint="default" w:ascii="Times New Roman" w:hAnsi="Times New Roman" w:eastAsia="仿宋_GB2312" w:cs="Times New Roman"/>
          <w:bCs/>
          <w:color w:val="000000"/>
          <w:sz w:val="32"/>
          <w:szCs w:val="32"/>
        </w:rPr>
        <w:t>广州金域医学检验中心有限公司具备完成开展人群</w:t>
      </w:r>
      <w:r>
        <w:rPr>
          <w:rFonts w:hint="default" w:ascii="Times New Roman" w:hAnsi="Times New Roman" w:eastAsia="仿宋_GB2312" w:cs="Times New Roman"/>
          <w:color w:val="000000"/>
          <w:sz w:val="32"/>
          <w:szCs w:val="32"/>
        </w:rPr>
        <w:t>营养监测和加强营养健康基础数据共享利用等方面工作能力和条件。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六、组织架构</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楷体_GB2312" w:cs="Times New Roman"/>
          <w:b/>
          <w:bCs/>
          <w:color w:val="FF0000"/>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b w:val="0"/>
          <w:bCs w:val="0"/>
          <w:sz w:val="32"/>
          <w:szCs w:val="32"/>
        </w:rPr>
        <w:t xml:space="preserve">   （一）</w:t>
      </w:r>
      <w:r>
        <w:rPr>
          <w:rFonts w:hint="default" w:ascii="Times New Roman" w:hAnsi="Times New Roman" w:eastAsia="楷体_GB2312" w:cs="Times New Roman"/>
          <w:b w:val="0"/>
          <w:bCs w:val="0"/>
          <w:color w:val="000000"/>
          <w:sz w:val="32"/>
          <w:szCs w:val="32"/>
        </w:rPr>
        <w:t>岭南区域营养创新平台管理委员会</w:t>
      </w:r>
      <w:r>
        <w:rPr>
          <w:rFonts w:hint="default" w:ascii="Times New Roman" w:hAnsi="Times New Roman" w:eastAsia="楷体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kern w:val="0"/>
          <w:sz w:val="32"/>
          <w:szCs w:val="32"/>
        </w:rPr>
        <w:t>平台建立管理委员会。管理委员会设主任1名，副主任1名，委员若干名。委员由各参加组成单位推荐。</w:t>
      </w:r>
      <w:r>
        <w:rPr>
          <w:rFonts w:hint="default" w:ascii="Times New Roman" w:hAnsi="Times New Roman" w:eastAsia="仿宋_GB2312" w:cs="Times New Roman"/>
          <w:bCs/>
          <w:color w:val="000000"/>
          <w:sz w:val="32"/>
          <w:szCs w:val="32"/>
        </w:rPr>
        <w:t>管理委员会为中心决策机构，任期四年。本届管理委员会成员名单见表1。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表 1  第一届管理委员会成员（建议）</w:t>
      </w:r>
    </w:p>
    <w:tbl>
      <w:tblPr>
        <w:tblStyle w:val="3"/>
        <w:tblW w:w="8483" w:type="dxa"/>
        <w:tblInd w:w="96" w:type="dxa"/>
        <w:tblLayout w:type="fixed"/>
        <w:tblCellMar>
          <w:top w:w="0" w:type="dxa"/>
          <w:left w:w="108" w:type="dxa"/>
          <w:bottom w:w="0" w:type="dxa"/>
          <w:right w:w="108" w:type="dxa"/>
        </w:tblCellMar>
      </w:tblPr>
      <w:tblGrid>
        <w:gridCol w:w="732"/>
        <w:gridCol w:w="1080"/>
        <w:gridCol w:w="1304"/>
        <w:gridCol w:w="3556"/>
        <w:gridCol w:w="1811"/>
      </w:tblGrid>
      <w:tr>
        <w:tblPrEx>
          <w:tblLayout w:type="fixed"/>
          <w:tblCellMar>
            <w:top w:w="0" w:type="dxa"/>
            <w:left w:w="108" w:type="dxa"/>
            <w:bottom w:w="0" w:type="dxa"/>
            <w:right w:w="108" w:type="dxa"/>
          </w:tblCellMar>
        </w:tblPrEx>
        <w:trPr>
          <w:trHeight w:val="767"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序号</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平台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职务</w:t>
            </w:r>
          </w:p>
        </w:tc>
        <w:tc>
          <w:tcPr>
            <w:tcW w:w="13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姓名</w:t>
            </w:r>
          </w:p>
        </w:tc>
        <w:tc>
          <w:tcPr>
            <w:tcW w:w="35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工作单位</w:t>
            </w:r>
          </w:p>
        </w:tc>
        <w:tc>
          <w:tcPr>
            <w:tcW w:w="18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单位职务</w:t>
            </w:r>
          </w:p>
        </w:tc>
      </w:tr>
      <w:tr>
        <w:tblPrEx>
          <w:tblLayout w:type="fixed"/>
          <w:tblCellMar>
            <w:top w:w="0" w:type="dxa"/>
            <w:left w:w="108" w:type="dxa"/>
            <w:bottom w:w="0" w:type="dxa"/>
            <w:right w:w="108" w:type="dxa"/>
          </w:tblCellMar>
        </w:tblPrEx>
        <w:trPr>
          <w:trHeight w:val="456"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主任</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凌文华</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广东省营养学会</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理事长</w:t>
            </w:r>
          </w:p>
        </w:tc>
      </w:tr>
      <w:tr>
        <w:tblPrEx>
          <w:tblLayout w:type="fixed"/>
          <w:tblCellMar>
            <w:top w:w="0" w:type="dxa"/>
            <w:left w:w="108" w:type="dxa"/>
            <w:bottom w:w="0" w:type="dxa"/>
            <w:right w:w="108" w:type="dxa"/>
          </w:tblCellMar>
        </w:tblPrEx>
        <w:trPr>
          <w:trHeight w:val="461"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副主任</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甘萍</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广东省疾病预防控制中心</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一级调研员</w:t>
            </w:r>
          </w:p>
        </w:tc>
      </w:tr>
      <w:tr>
        <w:tblPrEx>
          <w:tblLayout w:type="fixed"/>
          <w:tblCellMar>
            <w:top w:w="0" w:type="dxa"/>
            <w:left w:w="108" w:type="dxa"/>
            <w:bottom w:w="0" w:type="dxa"/>
            <w:right w:w="108" w:type="dxa"/>
          </w:tblCellMar>
        </w:tblPrEx>
        <w:trPr>
          <w:trHeight w:val="452"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朱惠莲</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中山大学公共卫生学院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系主任</w:t>
            </w:r>
          </w:p>
        </w:tc>
      </w:tr>
      <w:tr>
        <w:tblPrEx>
          <w:tblLayout w:type="fixed"/>
          <w:tblCellMar>
            <w:top w:w="0" w:type="dxa"/>
            <w:left w:w="108" w:type="dxa"/>
            <w:bottom w:w="0" w:type="dxa"/>
            <w:right w:w="108" w:type="dxa"/>
          </w:tblCellMar>
        </w:tblPrEx>
        <w:trPr>
          <w:trHeight w:val="458"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何洁仪</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广东省食品安全学会</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技术总监</w:t>
            </w:r>
          </w:p>
        </w:tc>
      </w:tr>
      <w:tr>
        <w:tblPrEx>
          <w:tblLayout w:type="fixed"/>
          <w:tblCellMar>
            <w:top w:w="0" w:type="dxa"/>
            <w:left w:w="108" w:type="dxa"/>
            <w:bottom w:w="0" w:type="dxa"/>
            <w:right w:w="108" w:type="dxa"/>
          </w:tblCellMar>
        </w:tblPrEx>
        <w:trPr>
          <w:trHeight w:val="451"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毛丽梅</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szCs w:val="24"/>
              </w:rPr>
              <w:t>南方医科大学</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系主任</w:t>
            </w:r>
          </w:p>
        </w:tc>
      </w:tr>
      <w:tr>
        <w:tblPrEx>
          <w:tblLayout w:type="fixed"/>
          <w:tblCellMar>
            <w:top w:w="0" w:type="dxa"/>
            <w:left w:w="108" w:type="dxa"/>
            <w:bottom w:w="0" w:type="dxa"/>
            <w:right w:w="108" w:type="dxa"/>
          </w:tblCellMar>
        </w:tblPrEx>
        <w:trPr>
          <w:trHeight w:val="451"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严维娜</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Cs/>
                <w:color w:val="000000"/>
                <w:sz w:val="24"/>
                <w:szCs w:val="24"/>
              </w:rPr>
              <w:t>广东省疾病预防控制中心</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所长</w:t>
            </w:r>
          </w:p>
        </w:tc>
      </w:tr>
      <w:tr>
        <w:tblPrEx>
          <w:tblLayout w:type="fixed"/>
          <w:tblCellMar>
            <w:top w:w="0" w:type="dxa"/>
            <w:left w:w="108" w:type="dxa"/>
            <w:bottom w:w="0" w:type="dxa"/>
            <w:right w:w="108" w:type="dxa"/>
          </w:tblCellMar>
        </w:tblPrEx>
        <w:trPr>
          <w:trHeight w:val="451"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杨丽丽</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中山大学公共卫生学院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系副主任</w:t>
            </w:r>
          </w:p>
        </w:tc>
      </w:tr>
      <w:tr>
        <w:tblPrEx>
          <w:tblLayout w:type="fixed"/>
          <w:tblCellMar>
            <w:top w:w="0" w:type="dxa"/>
            <w:left w:w="108" w:type="dxa"/>
            <w:bottom w:w="0" w:type="dxa"/>
            <w:right w:w="108" w:type="dxa"/>
          </w:tblCellMar>
        </w:tblPrEx>
        <w:trPr>
          <w:trHeight w:val="451"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郭红辉</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广东医科大学</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副院长</w:t>
            </w:r>
          </w:p>
        </w:tc>
      </w:tr>
      <w:tr>
        <w:tblPrEx>
          <w:tblLayout w:type="fixed"/>
          <w:tblCellMar>
            <w:top w:w="0" w:type="dxa"/>
            <w:left w:w="108" w:type="dxa"/>
            <w:bottom w:w="0" w:type="dxa"/>
            <w:right w:w="108" w:type="dxa"/>
          </w:tblCellMar>
        </w:tblPrEx>
        <w:trPr>
          <w:trHeight w:val="457"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苏新国</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广东食品药品职业学院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珠江学者</w:t>
            </w:r>
          </w:p>
        </w:tc>
      </w:tr>
      <w:tr>
        <w:tblPrEx>
          <w:tblLayout w:type="fixed"/>
          <w:tblCellMar>
            <w:top w:w="0" w:type="dxa"/>
            <w:left w:w="108" w:type="dxa"/>
            <w:bottom w:w="0" w:type="dxa"/>
            <w:right w:w="108" w:type="dxa"/>
          </w:tblCellMar>
        </w:tblPrEx>
        <w:trPr>
          <w:trHeight w:val="463"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彭接文</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广东省公共卫生研究院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副院长</w:t>
            </w:r>
          </w:p>
        </w:tc>
      </w:tr>
      <w:tr>
        <w:tblPrEx>
          <w:tblLayout w:type="fixed"/>
          <w:tblCellMar>
            <w:top w:w="0" w:type="dxa"/>
            <w:left w:w="108" w:type="dxa"/>
            <w:bottom w:w="0" w:type="dxa"/>
            <w:right w:w="108" w:type="dxa"/>
          </w:tblCellMar>
        </w:tblPrEx>
        <w:trPr>
          <w:trHeight w:val="454"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张贤昌</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广东省生物制品与药物研究所</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所长</w:t>
            </w:r>
          </w:p>
        </w:tc>
      </w:tr>
      <w:tr>
        <w:tblPrEx>
          <w:tblLayout w:type="fixed"/>
          <w:tblCellMar>
            <w:top w:w="0" w:type="dxa"/>
            <w:left w:w="108" w:type="dxa"/>
            <w:bottom w:w="0" w:type="dxa"/>
            <w:right w:w="108" w:type="dxa"/>
          </w:tblCellMar>
        </w:tblPrEx>
        <w:trPr>
          <w:trHeight w:val="460"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12</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陈超刚</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中山大学孙逸仙纪念医院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科主任</w:t>
            </w:r>
          </w:p>
        </w:tc>
      </w:tr>
      <w:tr>
        <w:tblPrEx>
          <w:tblLayout w:type="fixed"/>
          <w:tblCellMar>
            <w:top w:w="0" w:type="dxa"/>
            <w:left w:w="108" w:type="dxa"/>
            <w:bottom w:w="0" w:type="dxa"/>
            <w:right w:w="108" w:type="dxa"/>
          </w:tblCellMar>
        </w:tblPrEx>
        <w:trPr>
          <w:trHeight w:val="453"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13</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肖本熙</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广东</w:t>
            </w:r>
            <w:r>
              <w:rPr>
                <w:rFonts w:hint="default" w:ascii="Times New Roman" w:hAnsi="Times New Roman" w:eastAsia="宋体" w:cs="Times New Roman"/>
                <w:color w:val="000000"/>
                <w:sz w:val="24"/>
                <w:szCs w:val="24"/>
              </w:rPr>
              <w:t>省人民医院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副主任医师</w:t>
            </w:r>
          </w:p>
        </w:tc>
      </w:tr>
      <w:tr>
        <w:tblPrEx>
          <w:tblLayout w:type="fixed"/>
          <w:tblCellMar>
            <w:top w:w="0" w:type="dxa"/>
            <w:left w:w="108" w:type="dxa"/>
            <w:bottom w:w="0" w:type="dxa"/>
            <w:right w:w="108" w:type="dxa"/>
          </w:tblCellMar>
        </w:tblPrEx>
        <w:trPr>
          <w:trHeight w:val="459"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14</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谭荣韶</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暨南大学附属广州红十字会医院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科主任</w:t>
            </w:r>
          </w:p>
        </w:tc>
      </w:tr>
      <w:tr>
        <w:tblPrEx>
          <w:tblLayout w:type="fixed"/>
          <w:tblCellMar>
            <w:top w:w="0" w:type="dxa"/>
            <w:left w:w="108" w:type="dxa"/>
            <w:bottom w:w="0" w:type="dxa"/>
            <w:right w:w="108" w:type="dxa"/>
          </w:tblCellMar>
        </w:tblPrEx>
        <w:trPr>
          <w:trHeight w:val="465"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徐亚林</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广州泰康粤园医院</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院长</w:t>
            </w:r>
          </w:p>
        </w:tc>
      </w:tr>
      <w:tr>
        <w:tblPrEx>
          <w:tblLayout w:type="fixed"/>
          <w:tblCellMar>
            <w:top w:w="0" w:type="dxa"/>
            <w:left w:w="108" w:type="dxa"/>
            <w:bottom w:w="0" w:type="dxa"/>
            <w:right w:w="108" w:type="dxa"/>
          </w:tblCellMar>
        </w:tblPrEx>
        <w:trPr>
          <w:trHeight w:val="443"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16</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张旭光</w:t>
            </w:r>
          </w:p>
        </w:tc>
        <w:tc>
          <w:tcPr>
            <w:tcW w:w="35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Cs/>
                <w:color w:val="000000"/>
                <w:sz w:val="24"/>
                <w:szCs w:val="24"/>
              </w:rPr>
              <w:t>汤臣倍健股份有限公司</w:t>
            </w:r>
          </w:p>
        </w:tc>
        <w:tc>
          <w:tcPr>
            <w:tcW w:w="18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科技中心</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总监</w:t>
            </w:r>
          </w:p>
        </w:tc>
      </w:tr>
      <w:tr>
        <w:tblPrEx>
          <w:tblLayout w:type="fixed"/>
          <w:tblCellMar>
            <w:top w:w="0" w:type="dxa"/>
            <w:left w:w="108" w:type="dxa"/>
            <w:bottom w:w="0" w:type="dxa"/>
            <w:right w:w="108" w:type="dxa"/>
          </w:tblCellMar>
        </w:tblPrEx>
        <w:trPr>
          <w:trHeight w:val="462"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17</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宋金熹</w:t>
            </w:r>
          </w:p>
        </w:tc>
        <w:tc>
          <w:tcPr>
            <w:tcW w:w="35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color w:val="000000"/>
                <w:kern w:val="0"/>
                <w:sz w:val="24"/>
                <w:szCs w:val="24"/>
              </w:rPr>
              <w:t>广东速康特医食品科技有限公司</w:t>
            </w:r>
          </w:p>
        </w:tc>
        <w:tc>
          <w:tcPr>
            <w:tcW w:w="18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董事长</w:t>
            </w:r>
          </w:p>
        </w:tc>
      </w:tr>
      <w:tr>
        <w:tblPrEx>
          <w:tblLayout w:type="fixed"/>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18</w:t>
            </w:r>
          </w:p>
        </w:tc>
        <w:tc>
          <w:tcPr>
            <w:tcW w:w="10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陈妙娉</w:t>
            </w:r>
          </w:p>
        </w:tc>
        <w:tc>
          <w:tcPr>
            <w:tcW w:w="355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禾健生营养科技（广东）有限公司</w:t>
            </w:r>
          </w:p>
        </w:tc>
        <w:tc>
          <w:tcPr>
            <w:tcW w:w="18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总经理</w:t>
            </w:r>
          </w:p>
        </w:tc>
      </w:tr>
      <w:tr>
        <w:tblPrEx>
          <w:tblLayout w:type="fixed"/>
          <w:tblCellMar>
            <w:top w:w="0" w:type="dxa"/>
            <w:left w:w="108" w:type="dxa"/>
            <w:bottom w:w="0" w:type="dxa"/>
            <w:right w:w="108" w:type="dxa"/>
          </w:tblCellMar>
        </w:tblPrEx>
        <w:trPr>
          <w:trHeight w:val="461"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19</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吴伟民</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Cs/>
                <w:color w:val="000000"/>
                <w:sz w:val="24"/>
                <w:szCs w:val="24"/>
              </w:rPr>
              <w:t>医膳通（广东）信息技术有限公司</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首席执行官</w:t>
            </w:r>
          </w:p>
        </w:tc>
      </w:tr>
      <w:tr>
        <w:tblPrEx>
          <w:tblLayout w:type="fixed"/>
          <w:tblCellMar>
            <w:top w:w="0" w:type="dxa"/>
            <w:left w:w="108" w:type="dxa"/>
            <w:bottom w:w="0" w:type="dxa"/>
            <w:right w:w="108" w:type="dxa"/>
          </w:tblCellMar>
        </w:tblPrEx>
        <w:trPr>
          <w:trHeight w:val="453"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20</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邓斌</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安利（中国）日用品有限公司</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技术法规</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经理</w:t>
            </w:r>
          </w:p>
        </w:tc>
      </w:tr>
      <w:tr>
        <w:tblPrEx>
          <w:tblLayout w:type="fixed"/>
          <w:tblCellMar>
            <w:top w:w="0" w:type="dxa"/>
            <w:left w:w="108" w:type="dxa"/>
            <w:bottom w:w="0" w:type="dxa"/>
            <w:right w:w="108" w:type="dxa"/>
          </w:tblCellMar>
        </w:tblPrEx>
        <w:trPr>
          <w:trHeight w:val="459"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21</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陈伟翰</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广东大光药业集团有限公司</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总经理</w:t>
            </w:r>
          </w:p>
        </w:tc>
      </w:tr>
      <w:tr>
        <w:tblPrEx>
          <w:tblLayout w:type="fixed"/>
          <w:tblCellMar>
            <w:top w:w="0" w:type="dxa"/>
            <w:left w:w="108" w:type="dxa"/>
            <w:bottom w:w="0" w:type="dxa"/>
            <w:right w:w="108" w:type="dxa"/>
          </w:tblCellMar>
        </w:tblPrEx>
        <w:trPr>
          <w:trHeight w:val="464" w:hRule="atLeast"/>
        </w:trPr>
        <w:tc>
          <w:tcPr>
            <w:tcW w:w="7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22</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委员</w:t>
            </w:r>
          </w:p>
        </w:tc>
        <w:tc>
          <w:tcPr>
            <w:tcW w:w="130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王方莉</w:t>
            </w:r>
          </w:p>
        </w:tc>
        <w:tc>
          <w:tcPr>
            <w:tcW w:w="355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广州金域医学检验中心有限公司</w:t>
            </w:r>
          </w:p>
        </w:tc>
        <w:tc>
          <w:tcPr>
            <w:tcW w:w="181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市场部副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经理</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val="0"/>
          <w:bCs/>
          <w:color w:val="FF0000"/>
          <w:sz w:val="32"/>
          <w:szCs w:val="32"/>
        </w:rPr>
      </w:pP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color w:val="000000"/>
          <w:sz w:val="32"/>
          <w:szCs w:val="32"/>
        </w:rPr>
        <w:t>岭南区域营养创新平台专家委员会</w:t>
      </w:r>
      <w:r>
        <w:rPr>
          <w:rFonts w:hint="default" w:ascii="Times New Roman" w:hAnsi="Times New Roman" w:eastAsia="楷体_GB2312"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专家委员会由</w:t>
      </w:r>
      <w:r>
        <w:rPr>
          <w:rFonts w:hint="default" w:ascii="Times New Roman" w:hAnsi="Times New Roman" w:eastAsia="仿宋_GB2312" w:cs="Times New Roman"/>
          <w:color w:val="000000"/>
          <w:sz w:val="32"/>
          <w:szCs w:val="32"/>
        </w:rPr>
        <w:t>营养健康</w:t>
      </w:r>
      <w:r>
        <w:rPr>
          <w:rFonts w:hint="default" w:ascii="Times New Roman" w:hAnsi="Times New Roman" w:eastAsia="仿宋_GB2312" w:cs="Times New Roman"/>
          <w:bCs/>
          <w:color w:val="000000"/>
          <w:sz w:val="32"/>
          <w:szCs w:val="32"/>
        </w:rPr>
        <w:t>相关领域专家组成，设专家顾问2名，主任委员1名，副主任委员5名。专家委员会任期与管理委员会任期相同。本届专家委员会组成人员见表2。</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表 2  第一届专家委员会成员（建议）</w:t>
      </w:r>
    </w:p>
    <w:tbl>
      <w:tblPr>
        <w:tblStyle w:val="3"/>
        <w:tblW w:w="9194" w:type="dxa"/>
        <w:tblInd w:w="96" w:type="dxa"/>
        <w:tblLayout w:type="fixed"/>
        <w:tblCellMar>
          <w:top w:w="0" w:type="dxa"/>
          <w:left w:w="108" w:type="dxa"/>
          <w:bottom w:w="0" w:type="dxa"/>
          <w:right w:w="108" w:type="dxa"/>
        </w:tblCellMar>
      </w:tblPr>
      <w:tblGrid>
        <w:gridCol w:w="900"/>
        <w:gridCol w:w="1272"/>
        <w:gridCol w:w="1761"/>
        <w:gridCol w:w="2150"/>
        <w:gridCol w:w="1416"/>
        <w:gridCol w:w="1695"/>
      </w:tblGrid>
      <w:tr>
        <w:tblPrEx>
          <w:tblLayout w:type="fixed"/>
          <w:tblCellMar>
            <w:top w:w="0" w:type="dxa"/>
            <w:left w:w="108" w:type="dxa"/>
            <w:bottom w:w="0" w:type="dxa"/>
            <w:right w:w="108" w:type="dxa"/>
          </w:tblCellMar>
        </w:tblPrEx>
        <w:trPr>
          <w:trHeight w:val="685"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序号</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姓名</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学委会职务</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工作单位</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职称</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研究领域</w:t>
            </w:r>
          </w:p>
        </w:tc>
      </w:tr>
      <w:tr>
        <w:tblPrEx>
          <w:tblLayout w:type="fixed"/>
          <w:tblCellMar>
            <w:top w:w="0" w:type="dxa"/>
            <w:left w:w="108" w:type="dxa"/>
            <w:bottom w:w="0" w:type="dxa"/>
            <w:right w:w="108" w:type="dxa"/>
          </w:tblCellMar>
        </w:tblPrEx>
        <w:trPr>
          <w:trHeight w:val="449"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杨月欣</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顾问</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中国营养学会</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营养与健康</w:t>
            </w:r>
          </w:p>
        </w:tc>
      </w:tr>
      <w:tr>
        <w:tblPrEx>
          <w:tblLayout w:type="fixed"/>
          <w:tblCellMar>
            <w:top w:w="0" w:type="dxa"/>
            <w:left w:w="108" w:type="dxa"/>
            <w:bottom w:w="0" w:type="dxa"/>
            <w:right w:w="108" w:type="dxa"/>
          </w:tblCellMar>
        </w:tblPrEx>
        <w:trPr>
          <w:trHeight w:val="457"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马爱国</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顾问</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青岛大学</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营养与健康</w:t>
            </w:r>
          </w:p>
        </w:tc>
      </w:tr>
      <w:tr>
        <w:tblPrEx>
          <w:tblLayout w:type="fixed"/>
          <w:tblCellMar>
            <w:top w:w="0" w:type="dxa"/>
            <w:left w:w="108" w:type="dxa"/>
            <w:bottom w:w="0" w:type="dxa"/>
            <w:right w:w="108" w:type="dxa"/>
          </w:tblCellMar>
        </w:tblPrEx>
        <w:trPr>
          <w:trHeight w:val="446"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杨杏芬</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主任委员</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南方医科大学</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食品安全</w:t>
            </w:r>
          </w:p>
        </w:tc>
      </w:tr>
      <w:tr>
        <w:tblPrEx>
          <w:tblLayout w:type="fixed"/>
          <w:tblCellMar>
            <w:top w:w="0" w:type="dxa"/>
            <w:left w:w="108" w:type="dxa"/>
            <w:bottom w:w="0" w:type="dxa"/>
            <w:right w:w="108" w:type="dxa"/>
          </w:tblCellMar>
        </w:tblPrEx>
        <w:trPr>
          <w:trHeight w:val="466"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张名位</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副主任委员</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广东省农科院</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食品科学</w:t>
            </w:r>
          </w:p>
        </w:tc>
      </w:tr>
      <w:tr>
        <w:tblPrEx>
          <w:tblLayout w:type="fixed"/>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徐希平</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副主任委员</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南方医科大学</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营养流行病</w:t>
            </w:r>
          </w:p>
        </w:tc>
      </w:tr>
      <w:tr>
        <w:tblPrEx>
          <w:tblLayout w:type="fixed"/>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张永慧</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副主任委员</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Cs/>
                <w:color w:val="000000"/>
                <w:sz w:val="28"/>
                <w:szCs w:val="28"/>
              </w:rPr>
              <w:t>广东省疾病预防控制中心</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食品安全</w:t>
            </w:r>
          </w:p>
        </w:tc>
      </w:tr>
      <w:tr>
        <w:tblPrEx>
          <w:tblLayout w:type="fixed"/>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戴昌芳</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副主任委员</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广东省食品安全学会</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主任技师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食品安全</w:t>
            </w:r>
          </w:p>
        </w:tc>
      </w:tr>
      <w:tr>
        <w:tblPrEx>
          <w:tblLayout w:type="fixed"/>
          <w:tblCellMar>
            <w:top w:w="0" w:type="dxa"/>
            <w:left w:w="108" w:type="dxa"/>
            <w:bottom w:w="0" w:type="dxa"/>
            <w:right w:w="108" w:type="dxa"/>
          </w:tblCellMar>
        </w:tblPrEx>
        <w:trPr>
          <w:trHeight w:val="459" w:hRule="atLeast"/>
        </w:trPr>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p>
        </w:tc>
        <w:tc>
          <w:tcPr>
            <w:tcW w:w="12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马文军</w:t>
            </w:r>
          </w:p>
        </w:tc>
        <w:tc>
          <w:tcPr>
            <w:tcW w:w="176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副主任委员</w:t>
            </w:r>
          </w:p>
        </w:tc>
        <w:tc>
          <w:tcPr>
            <w:tcW w:w="2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广东省公共卫生研究院</w:t>
            </w:r>
          </w:p>
        </w:tc>
        <w:tc>
          <w:tcPr>
            <w:tcW w:w="14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主任医师</w:t>
            </w:r>
          </w:p>
        </w:tc>
        <w:tc>
          <w:tcPr>
            <w:tcW w:w="169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营养与健康</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val="0"/>
          <w:bCs/>
          <w:color w:val="FF0000"/>
          <w:sz w:val="32"/>
          <w:szCs w:val="32"/>
        </w:rPr>
      </w:pPr>
      <w:r>
        <w:rPr>
          <w:rFonts w:hint="default" w:ascii="Times New Roman" w:hAnsi="Times New Roman" w:eastAsia="楷体_GB2312" w:cs="Times New Roman"/>
          <w:b w:val="0"/>
          <w:bCs/>
          <w:sz w:val="32"/>
          <w:szCs w:val="32"/>
        </w:rPr>
        <w:t>（三）</w:t>
      </w:r>
      <w:r>
        <w:rPr>
          <w:rFonts w:hint="default" w:ascii="Times New Roman" w:hAnsi="Times New Roman" w:eastAsia="楷体_GB2312" w:cs="Times New Roman"/>
          <w:b w:val="0"/>
          <w:bCs/>
          <w:color w:val="000000"/>
          <w:sz w:val="32"/>
          <w:szCs w:val="32"/>
        </w:rPr>
        <w:t>岭南区域营养创新平台秘书处</w:t>
      </w:r>
      <w:r>
        <w:rPr>
          <w:rFonts w:hint="default" w:ascii="Times New Roman" w:hAnsi="Times New Roman" w:eastAsia="楷体_GB2312"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kern w:val="0"/>
          <w:sz w:val="32"/>
          <w:szCs w:val="32"/>
        </w:rPr>
        <w:t>平台设秘书处，秘书处设秘书长1名，副秘书长及秘书若干名。秘书处为平台的常规运行机构，</w:t>
      </w:r>
      <w:r>
        <w:rPr>
          <w:rFonts w:hint="default" w:ascii="Times New Roman" w:hAnsi="Times New Roman" w:eastAsia="仿宋_GB2312" w:cs="Times New Roman"/>
          <w:bCs/>
          <w:color w:val="000000"/>
          <w:sz w:val="32"/>
          <w:szCs w:val="32"/>
        </w:rPr>
        <w:t>任期与管理委员会任期相同。本届秘书处成员名单见表3。</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表 3  第一届秘书处成员（建议）</w:t>
      </w:r>
    </w:p>
    <w:tbl>
      <w:tblPr>
        <w:tblStyle w:val="3"/>
        <w:tblW w:w="9095" w:type="dxa"/>
        <w:tblInd w:w="96" w:type="dxa"/>
        <w:tblLayout w:type="fixed"/>
        <w:tblCellMar>
          <w:top w:w="0" w:type="dxa"/>
          <w:left w:w="108" w:type="dxa"/>
          <w:bottom w:w="0" w:type="dxa"/>
          <w:right w:w="108" w:type="dxa"/>
        </w:tblCellMar>
      </w:tblPr>
      <w:tblGrid>
        <w:gridCol w:w="833"/>
        <w:gridCol w:w="1200"/>
        <w:gridCol w:w="1450"/>
        <w:gridCol w:w="3872"/>
        <w:gridCol w:w="1740"/>
      </w:tblGrid>
      <w:tr>
        <w:tblPrEx>
          <w:tblLayout w:type="fixed"/>
          <w:tblCellMar>
            <w:top w:w="0" w:type="dxa"/>
            <w:left w:w="108" w:type="dxa"/>
            <w:bottom w:w="0" w:type="dxa"/>
            <w:right w:w="108" w:type="dxa"/>
          </w:tblCellMar>
        </w:tblPrEx>
        <w:trPr>
          <w:trHeight w:val="619"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序号</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姓名</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秘书处</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职务</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工作单位</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职称</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（职务）</w:t>
            </w:r>
          </w:p>
        </w:tc>
      </w:tr>
      <w:tr>
        <w:tblPrEx>
          <w:tblLayout w:type="fixed"/>
          <w:tblCellMar>
            <w:top w:w="0" w:type="dxa"/>
            <w:left w:w="108" w:type="dxa"/>
            <w:bottom w:w="0" w:type="dxa"/>
            <w:right w:w="108" w:type="dxa"/>
          </w:tblCellMar>
        </w:tblPrEx>
        <w:trPr>
          <w:trHeight w:val="449"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朱惠莲</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秘书长</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中山大学公共卫生学院</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教授</w:t>
            </w:r>
          </w:p>
        </w:tc>
      </w:tr>
      <w:tr>
        <w:tblPrEx>
          <w:tblLayout w:type="fixed"/>
          <w:tblCellMar>
            <w:top w:w="0" w:type="dxa"/>
            <w:left w:w="108" w:type="dxa"/>
            <w:bottom w:w="0" w:type="dxa"/>
            <w:right w:w="108" w:type="dxa"/>
          </w:tblCellMar>
        </w:tblPrEx>
        <w:trPr>
          <w:trHeight w:val="457"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冯丹</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副秘书长</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中山大学公共卫生学院</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副教授</w:t>
            </w:r>
          </w:p>
        </w:tc>
      </w:tr>
      <w:tr>
        <w:tblPrEx>
          <w:tblLayout w:type="fixed"/>
          <w:tblCellMar>
            <w:top w:w="0" w:type="dxa"/>
            <w:left w:w="108" w:type="dxa"/>
            <w:bottom w:w="0" w:type="dxa"/>
            <w:right w:w="108" w:type="dxa"/>
          </w:tblCellMar>
        </w:tblPrEx>
        <w:trPr>
          <w:trHeight w:val="446"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池岚</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副秘书长</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Cs/>
                <w:color w:val="000000"/>
                <w:sz w:val="28"/>
                <w:szCs w:val="28"/>
              </w:rPr>
              <w:t>广东省疾病预防控制中心</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一级主任</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科员</w:t>
            </w:r>
          </w:p>
        </w:tc>
      </w:tr>
      <w:tr>
        <w:tblPrEx>
          <w:tblLayout w:type="fixed"/>
          <w:tblCellMar>
            <w:top w:w="0" w:type="dxa"/>
            <w:left w:w="108" w:type="dxa"/>
            <w:bottom w:w="0" w:type="dxa"/>
            <w:right w:w="108" w:type="dxa"/>
          </w:tblCellMar>
        </w:tblPrEx>
        <w:trPr>
          <w:trHeight w:val="466"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宋金熹</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副秘书长</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pacing w:val="-17"/>
                <w:kern w:val="0"/>
                <w:sz w:val="28"/>
                <w:szCs w:val="28"/>
              </w:rPr>
              <w:t>广东速康特医食品科技有限公司</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董事长</w:t>
            </w:r>
          </w:p>
        </w:tc>
      </w:tr>
      <w:tr>
        <w:tblPrEx>
          <w:tblLayout w:type="fixed"/>
          <w:tblCellMar>
            <w:top w:w="0" w:type="dxa"/>
            <w:left w:w="108" w:type="dxa"/>
            <w:bottom w:w="0" w:type="dxa"/>
            <w:right w:w="108" w:type="dxa"/>
          </w:tblCellMar>
        </w:tblPrEx>
        <w:trPr>
          <w:trHeight w:val="459"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王澄</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副秘书长</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中山大学孙逸仙纪念医院</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医师</w:t>
            </w:r>
          </w:p>
        </w:tc>
      </w:tr>
      <w:tr>
        <w:tblPrEx>
          <w:tblLayout w:type="fixed"/>
          <w:tblCellMar>
            <w:top w:w="0" w:type="dxa"/>
            <w:left w:w="108" w:type="dxa"/>
            <w:bottom w:w="0" w:type="dxa"/>
            <w:right w:w="108" w:type="dxa"/>
          </w:tblCellMar>
        </w:tblPrEx>
        <w:trPr>
          <w:trHeight w:val="459"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王萍</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秘书</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kern w:val="0"/>
                <w:sz w:val="28"/>
                <w:szCs w:val="28"/>
              </w:rPr>
              <w:t>广东省生物制品与药物研究所</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rPr>
              <w:t>高级工程师</w:t>
            </w:r>
          </w:p>
        </w:tc>
      </w:tr>
      <w:tr>
        <w:tblPrEx>
          <w:tblLayout w:type="fixed"/>
          <w:tblCellMar>
            <w:top w:w="0" w:type="dxa"/>
            <w:left w:w="108" w:type="dxa"/>
            <w:bottom w:w="0" w:type="dxa"/>
            <w:right w:w="108" w:type="dxa"/>
          </w:tblCellMar>
        </w:tblPrEx>
        <w:trPr>
          <w:trHeight w:val="459"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李春蕾</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秘书</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Cs/>
                <w:color w:val="000000"/>
                <w:spacing w:val="-17"/>
                <w:sz w:val="28"/>
                <w:szCs w:val="28"/>
              </w:rPr>
            </w:pPr>
            <w:r>
              <w:rPr>
                <w:rFonts w:hint="default" w:ascii="Times New Roman" w:hAnsi="Times New Roman" w:eastAsia="仿宋_GB2312" w:cs="Times New Roman"/>
                <w:bCs/>
                <w:color w:val="000000"/>
                <w:spacing w:val="-17"/>
                <w:sz w:val="28"/>
                <w:szCs w:val="28"/>
              </w:rPr>
              <w:t>暨南大学附属广州红十字会医院</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医师</w:t>
            </w:r>
          </w:p>
        </w:tc>
      </w:tr>
      <w:tr>
        <w:tblPrEx>
          <w:tblLayout w:type="fixed"/>
          <w:tblCellMar>
            <w:top w:w="0" w:type="dxa"/>
            <w:left w:w="108" w:type="dxa"/>
            <w:bottom w:w="0" w:type="dxa"/>
            <w:right w:w="108" w:type="dxa"/>
          </w:tblCellMar>
        </w:tblPrEx>
        <w:trPr>
          <w:trHeight w:val="459" w:hRule="atLeast"/>
        </w:trPr>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谢易冰</w:t>
            </w:r>
          </w:p>
        </w:tc>
        <w:tc>
          <w:tcPr>
            <w:tcW w:w="14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秘书</w:t>
            </w:r>
          </w:p>
        </w:tc>
        <w:tc>
          <w:tcPr>
            <w:tcW w:w="38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广东大光药业集团有限公司</w:t>
            </w:r>
          </w:p>
        </w:tc>
        <w:tc>
          <w:tcPr>
            <w:tcW w:w="17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lang w:eastAsia="en-US"/>
              </w:rPr>
            </w:pPr>
            <w:r>
              <w:rPr>
                <w:rFonts w:hint="default" w:ascii="Times New Roman" w:hAnsi="Times New Roman" w:eastAsia="仿宋_GB2312" w:cs="Times New Roman"/>
                <w:sz w:val="28"/>
                <w:szCs w:val="28"/>
              </w:rPr>
              <w:t>营养管理师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（经理）</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（四）组织架构图</w:t>
      </w:r>
      <w:r>
        <w:rPr>
          <w:rFonts w:hint="default" w:ascii="Times New Roman" w:hAnsi="Times New Roman" w:eastAsia="楷体_GB2312" w:cs="Times New Roman"/>
          <w:b w:val="0"/>
          <w:bCs w:val="0"/>
          <w:color w:val="000000"/>
          <w:sz w:val="32"/>
          <w:szCs w:val="32"/>
          <w:lang w:eastAsia="zh-CN"/>
        </w:rPr>
        <w:t>。</w:t>
      </w:r>
    </w:p>
    <w:p>
      <w:pPr>
        <w:adjustRightInd w:val="0"/>
        <w:snapToGrid w:val="0"/>
        <w:spacing w:line="360" w:lineRule="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mc:AlternateContent>
          <mc:Choice Requires="wpg">
            <w:drawing>
              <wp:anchor distT="0" distB="0" distL="114300" distR="114300" simplePos="0" relativeHeight="251658240" behindDoc="0" locked="0" layoutInCell="1" allowOverlap="1">
                <wp:simplePos x="0" y="0"/>
                <wp:positionH relativeFrom="column">
                  <wp:posOffset>-114300</wp:posOffset>
                </wp:positionH>
                <wp:positionV relativeFrom="paragraph">
                  <wp:posOffset>215265</wp:posOffset>
                </wp:positionV>
                <wp:extent cx="5600065" cy="3080385"/>
                <wp:effectExtent l="7620" t="7620" r="12065" b="17145"/>
                <wp:wrapNone/>
                <wp:docPr id="15" name="组合 15"/>
                <wp:cNvGraphicFramePr/>
                <a:graphic xmlns:a="http://schemas.openxmlformats.org/drawingml/2006/main">
                  <a:graphicData uri="http://schemas.microsoft.com/office/word/2010/wordprocessingGroup">
                    <wpg:wgp>
                      <wpg:cNvGrpSpPr/>
                      <wpg:grpSpPr>
                        <a:xfrm>
                          <a:off x="0" y="0"/>
                          <a:ext cx="5600065" cy="3080385"/>
                          <a:chOff x="1621" y="8603"/>
                          <a:chExt cx="8819" cy="4851"/>
                        </a:xfrm>
                      </wpg:grpSpPr>
                      <wps:wsp>
                        <wps:cNvPr id="1" name="直接连接符 1"/>
                        <wps:cNvSpPr/>
                        <wps:spPr>
                          <a:xfrm>
                            <a:off x="4680" y="12216"/>
                            <a:ext cx="2701" cy="0"/>
                          </a:xfrm>
                          <a:prstGeom prst="line">
                            <a:avLst/>
                          </a:prstGeom>
                          <a:ln w="15875" cap="flat" cmpd="sng">
                            <a:solidFill>
                              <a:srgbClr val="000000"/>
                            </a:solidFill>
                            <a:prstDash val="solid"/>
                            <a:headEnd type="none" w="med" len="med"/>
                            <a:tailEnd type="none" w="med" len="med"/>
                          </a:ln>
                        </wps:spPr>
                        <wps:bodyPr upright="1"/>
                      </wps:wsp>
                      <wps:wsp>
                        <wps:cNvPr id="2" name="直接连接符 2"/>
                        <wps:cNvSpPr/>
                        <wps:spPr>
                          <a:xfrm>
                            <a:off x="6120" y="12216"/>
                            <a:ext cx="0" cy="469"/>
                          </a:xfrm>
                          <a:prstGeom prst="line">
                            <a:avLst/>
                          </a:prstGeom>
                          <a:ln w="15875" cap="flat" cmpd="sng">
                            <a:solidFill>
                              <a:srgbClr val="000000"/>
                            </a:solidFill>
                            <a:prstDash val="solid"/>
                            <a:headEnd type="none" w="med" len="med"/>
                            <a:tailEnd type="triangle" w="med" len="med"/>
                          </a:ln>
                        </wps:spPr>
                        <wps:bodyPr upright="1"/>
                      </wps:wsp>
                      <wps:wsp>
                        <wps:cNvPr id="3" name="矩形 3"/>
                        <wps:cNvSpPr/>
                        <wps:spPr>
                          <a:xfrm>
                            <a:off x="4140" y="8603"/>
                            <a:ext cx="3780" cy="783"/>
                          </a:xfrm>
                          <a:prstGeom prst="rect">
                            <a:avLst/>
                          </a:prstGeom>
                          <a:solidFill>
                            <a:srgbClr val="FFFFFF"/>
                          </a:solidFill>
                          <a:ln w="15875" cap="flat" cmpd="sng">
                            <a:solidFill>
                              <a:srgbClr val="000000"/>
                            </a:solidFill>
                            <a:prstDash val="solid"/>
                            <a:miter/>
                            <a:headEnd type="none" w="med" len="med"/>
                            <a:tailEnd type="none" w="med" len="med"/>
                          </a:ln>
                        </wps:spPr>
                        <wps:txbx>
                          <w:txbxContent>
                            <w:p>
                              <w:r>
                                <w:rPr>
                                  <w:rFonts w:hint="eastAsia" w:ascii="宋体" w:hAnsi="宋体"/>
                                  <w:b/>
                                  <w:color w:val="000000"/>
                                  <w:kern w:val="0"/>
                                  <w:sz w:val="28"/>
                                  <w:szCs w:val="28"/>
                                </w:rPr>
                                <w:t xml:space="preserve">   岭南区域营养创新平台</w:t>
                              </w:r>
                            </w:p>
                          </w:txbxContent>
                        </wps:txbx>
                        <wps:bodyPr upright="1"/>
                      </wps:wsp>
                      <wps:wsp>
                        <wps:cNvPr id="4" name="矩形 4"/>
                        <wps:cNvSpPr/>
                        <wps:spPr>
                          <a:xfrm>
                            <a:off x="3420" y="10320"/>
                            <a:ext cx="2341" cy="779"/>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b/>
                                  <w:sz w:val="28"/>
                                  <w:szCs w:val="28"/>
                                </w:rPr>
                              </w:pPr>
                              <w:r>
                                <w:rPr>
                                  <w:rFonts w:hint="eastAsia"/>
                                </w:rPr>
                                <w:t xml:space="preserve">   </w:t>
                              </w:r>
                              <w:r>
                                <w:rPr>
                                  <w:rFonts w:hint="eastAsia"/>
                                  <w:b/>
                                  <w:sz w:val="28"/>
                                  <w:szCs w:val="28"/>
                                </w:rPr>
                                <w:t>管理委员会</w:t>
                              </w:r>
                            </w:p>
                          </w:txbxContent>
                        </wps:txbx>
                        <wps:bodyPr upright="1"/>
                      </wps:wsp>
                      <wps:wsp>
                        <wps:cNvPr id="5" name="矩形 5"/>
                        <wps:cNvSpPr/>
                        <wps:spPr>
                          <a:xfrm>
                            <a:off x="6301" y="10331"/>
                            <a:ext cx="2340" cy="7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b/>
                                  <w:sz w:val="28"/>
                                  <w:szCs w:val="28"/>
                                </w:rPr>
                              </w:pPr>
                              <w:r>
                                <w:rPr>
                                  <w:rFonts w:hint="eastAsia"/>
                                  <w:sz w:val="28"/>
                                  <w:szCs w:val="28"/>
                                </w:rPr>
                                <w:t xml:space="preserve">   </w:t>
                              </w:r>
                              <w:r>
                                <w:rPr>
                                  <w:rFonts w:hint="eastAsia"/>
                                  <w:b/>
                                  <w:sz w:val="28"/>
                                  <w:szCs w:val="28"/>
                                </w:rPr>
                                <w:t>专家委员会</w:t>
                              </w:r>
                            </w:p>
                          </w:txbxContent>
                        </wps:txbx>
                        <wps:bodyPr upright="1"/>
                      </wps:wsp>
                      <wps:wsp>
                        <wps:cNvPr id="6" name="矩形 6"/>
                        <wps:cNvSpPr/>
                        <wps:spPr>
                          <a:xfrm>
                            <a:off x="3960" y="12672"/>
                            <a:ext cx="4323" cy="782"/>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b/>
                                  <w:sz w:val="28"/>
                                  <w:szCs w:val="28"/>
                                </w:rPr>
                              </w:pPr>
                              <w:r>
                                <w:rPr>
                                  <w:rFonts w:hint="eastAsia"/>
                                  <w:sz w:val="28"/>
                                  <w:szCs w:val="28"/>
                                </w:rPr>
                                <w:t xml:space="preserve">         </w:t>
                              </w:r>
                              <w:r>
                                <w:rPr>
                                  <w:rFonts w:hint="eastAsia"/>
                                  <w:b/>
                                  <w:sz w:val="28"/>
                                  <w:szCs w:val="28"/>
                                </w:rPr>
                                <w:t>平台秘书处</w:t>
                              </w:r>
                            </w:p>
                          </w:txbxContent>
                        </wps:txbx>
                        <wps:bodyPr upright="1"/>
                      </wps:wsp>
                      <wps:wsp>
                        <wps:cNvPr id="7" name="矩形 7"/>
                        <wps:cNvSpPr/>
                        <wps:spPr>
                          <a:xfrm>
                            <a:off x="9721" y="9863"/>
                            <a:ext cx="719" cy="1716"/>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b/>
                                  <w:sz w:val="28"/>
                                  <w:szCs w:val="28"/>
                                </w:rPr>
                              </w:pPr>
                              <w:r>
                                <w:rPr>
                                  <w:rFonts w:hint="eastAsia"/>
                                  <w:b/>
                                  <w:sz w:val="28"/>
                                  <w:szCs w:val="28"/>
                                </w:rPr>
                                <w:t>咨询</w:t>
                              </w:r>
                            </w:p>
                          </w:txbxContent>
                        </wps:txbx>
                        <wps:bodyPr upright="1"/>
                      </wps:wsp>
                      <wps:wsp>
                        <wps:cNvPr id="8" name="矩形 8"/>
                        <wps:cNvSpPr/>
                        <wps:spPr>
                          <a:xfrm>
                            <a:off x="1621" y="9851"/>
                            <a:ext cx="719" cy="1716"/>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b/>
                                  <w:sz w:val="28"/>
                                  <w:szCs w:val="28"/>
                                </w:rPr>
                              </w:pPr>
                              <w:r>
                                <w:rPr>
                                  <w:rFonts w:hint="eastAsia"/>
                                  <w:b/>
                                  <w:sz w:val="28"/>
                                  <w:szCs w:val="28"/>
                                </w:rPr>
                                <w:t>决策</w:t>
                              </w:r>
                            </w:p>
                          </w:txbxContent>
                        </wps:txbx>
                        <wps:bodyPr upright="1"/>
                      </wps:wsp>
                      <wps:wsp>
                        <wps:cNvPr id="9" name="直接连接符 9"/>
                        <wps:cNvSpPr/>
                        <wps:spPr>
                          <a:xfrm>
                            <a:off x="4680" y="9540"/>
                            <a:ext cx="0" cy="624"/>
                          </a:xfrm>
                          <a:prstGeom prst="line">
                            <a:avLst/>
                          </a:prstGeom>
                          <a:ln w="15875" cap="flat" cmpd="sng">
                            <a:solidFill>
                              <a:srgbClr val="000000"/>
                            </a:solidFill>
                            <a:prstDash val="solid"/>
                            <a:headEnd type="none" w="med" len="med"/>
                            <a:tailEnd type="triangle" w="med" len="med"/>
                          </a:ln>
                        </wps:spPr>
                        <wps:bodyPr upright="1"/>
                      </wps:wsp>
                      <wps:wsp>
                        <wps:cNvPr id="10" name="直接连接符 10"/>
                        <wps:cNvSpPr/>
                        <wps:spPr>
                          <a:xfrm>
                            <a:off x="7381" y="9540"/>
                            <a:ext cx="1" cy="624"/>
                          </a:xfrm>
                          <a:prstGeom prst="line">
                            <a:avLst/>
                          </a:prstGeom>
                          <a:ln w="15875" cap="flat" cmpd="sng">
                            <a:solidFill>
                              <a:srgbClr val="000000"/>
                            </a:solidFill>
                            <a:prstDash val="solid"/>
                            <a:headEnd type="none" w="med" len="med"/>
                            <a:tailEnd type="triangle" w="med" len="med"/>
                          </a:ln>
                        </wps:spPr>
                        <wps:bodyPr upright="1"/>
                      </wps:wsp>
                      <wps:wsp>
                        <wps:cNvPr id="11" name="直接连接符 11"/>
                        <wps:cNvSpPr/>
                        <wps:spPr>
                          <a:xfrm>
                            <a:off x="4680" y="11255"/>
                            <a:ext cx="1" cy="935"/>
                          </a:xfrm>
                          <a:prstGeom prst="line">
                            <a:avLst/>
                          </a:prstGeom>
                          <a:ln w="15875" cap="flat" cmpd="sng">
                            <a:solidFill>
                              <a:srgbClr val="000000"/>
                            </a:solidFill>
                            <a:prstDash val="solid"/>
                            <a:headEnd type="none" w="med" len="med"/>
                            <a:tailEnd type="none" w="med" len="med"/>
                          </a:ln>
                        </wps:spPr>
                        <wps:bodyPr upright="1"/>
                      </wps:wsp>
                      <wps:wsp>
                        <wps:cNvPr id="12" name="直接连接符 12"/>
                        <wps:cNvSpPr/>
                        <wps:spPr>
                          <a:xfrm>
                            <a:off x="7380" y="11256"/>
                            <a:ext cx="0" cy="935"/>
                          </a:xfrm>
                          <a:prstGeom prst="line">
                            <a:avLst/>
                          </a:prstGeom>
                          <a:ln w="15875" cap="flat" cmpd="sng">
                            <a:solidFill>
                              <a:srgbClr val="000000"/>
                            </a:solidFill>
                            <a:prstDash val="solid"/>
                            <a:headEnd type="none" w="med" len="med"/>
                            <a:tailEnd type="none" w="med" len="med"/>
                          </a:ln>
                        </wps:spPr>
                        <wps:bodyPr upright="1"/>
                      </wps:wsp>
                      <wps:wsp>
                        <wps:cNvPr id="13" name="右箭头 13"/>
                        <wps:cNvSpPr/>
                        <wps:spPr>
                          <a:xfrm>
                            <a:off x="8821" y="10631"/>
                            <a:ext cx="721" cy="312"/>
                          </a:xfrm>
                          <a:prstGeom prst="rightArrow">
                            <a:avLst>
                              <a:gd name="adj1" fmla="val 50000"/>
                              <a:gd name="adj2" fmla="val 57772"/>
                            </a:avLst>
                          </a:prstGeom>
                          <a:solidFill>
                            <a:srgbClr val="FFFFFF"/>
                          </a:solidFill>
                          <a:ln w="15875" cap="flat" cmpd="sng">
                            <a:solidFill>
                              <a:srgbClr val="000000"/>
                            </a:solidFill>
                            <a:prstDash val="solid"/>
                            <a:miter/>
                            <a:headEnd type="none" w="med" len="med"/>
                            <a:tailEnd type="none" w="med" len="med"/>
                          </a:ln>
                        </wps:spPr>
                        <wps:bodyPr upright="1"/>
                      </wps:wsp>
                      <wps:wsp>
                        <wps:cNvPr id="14" name="左箭头 14"/>
                        <wps:cNvSpPr/>
                        <wps:spPr>
                          <a:xfrm>
                            <a:off x="2521" y="10631"/>
                            <a:ext cx="720" cy="312"/>
                          </a:xfrm>
                          <a:prstGeom prst="leftArrow">
                            <a:avLst>
                              <a:gd name="adj1" fmla="val 50000"/>
                              <a:gd name="adj2" fmla="val 57692"/>
                            </a:avLst>
                          </a:prstGeom>
                          <a:solidFill>
                            <a:srgbClr val="FFFFFF"/>
                          </a:solidFill>
                          <a:ln w="1587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9pt;margin-top:16.95pt;height:242.55pt;width:440.95pt;z-index:251658240;mso-width-relative:page;mso-height-relative:page;" coordorigin="1621,8603" coordsize="8819,4851" o:gfxdata="UEsDBAoAAAAAAIdO4kAAAAAAAAAAAAAAAAAEAAAAZHJzL1BLAwQUAAAACACHTuJAAXV1JtoAAAAK&#10;AQAADwAAAGRycy9kb3ducmV2LnhtbE2PwWrDMBBE74X+g9hCb4msmgTHtRxKaHsKhSaF0tvG2tgm&#10;1spYip38fZVTe5tlhtk3xfpiOzHS4FvHGtQ8AUFcOdNyreFr/zbLQPiAbLBzTBqu5GFd3t8VmBs3&#10;8SeNu1CLWMI+Rw1NCH0upa8asujnrieO3tENFkM8h1qaAadYbjv5lCRLabHl+KHBnjYNVafd2Wp4&#10;n3B6SdXruD0dN9ef/eLje6tI68cHlTyDCHQJf2G44Ud0KCPTwZ3ZeNFpmKksbgka0nQFIgay5U0c&#10;NCzUKgFZFvL/hPIXUEsDBBQAAAAIAIdO4kB6sn03pwQAABQiAAAOAAAAZHJzL2Uyb0RvYy54bWzt&#10;WsmOHDUYviPxDlbdma6ta9P0RIjJzAVBpIQH8FS5FlSbbM90z50DJ+COBBKCSJGASyLlgFCepjM8&#10;Br+Xql4ylekehtBMug/VLtvlsv//8/cvrsMHs6pEF4SyoqknhnVgGojUcZMUdTYxvnhy8lFgIMZx&#10;neCyqcnEuCTMeHD04QeH0zYidpM3ZUIogkFqFk3biZFz3kajEYtzUmF20LSkhsa0oRXmcEuzUULx&#10;FEavypFtmt5o2tCkpU1MGIPaY9VoHMnx05TE/PM0ZYSjcmLA3Li8Unk9E9fR0SGOMorbvIj1NPAt&#10;ZlHhooaX9kMdY47ROS3eGKoqYtqwJuUHcVONmjQtYiLXAKuxzLXVnNLmvJVryaJp1vZiAtGuyenW&#10;w8afXTyiqEhAd2MD1bgCHV398dX8u68RVIB0pm0WQadT2j5uH1Fdkak7seBZSivxD0tBMynXy16u&#10;ZMZRDJVjzwRVwfgxtDlmYDqBHBtHcQ7qEc9Znm0ZCJoDz3SUVuL8oX4+CKxQPewGY0u0jroXj8T8&#10;+ulMW0ARWwiK/TNBPc5xS6T8mZBBJ6heTt+/eP3NL3+9+gGuV78+RXJmYgrQtxcWixjI7RpJuV4A&#10;gIQVW7ZteWrJncBs3wRpCGlJhParxVFLGT8lTYVEYWKURS0miCN88SnjSjBdF1Fd1mgqVBv4QvoY&#10;NlhaYg7FqgWVszqTD7OmLJKToizFI4xmZ5+UFF1gsWXkT0t8pZt4yzFmueonm9QacoKTh3WC+GUL&#10;WKph1xtiDhVJDFQSIAlRgpniiOOi3KQnLL+sQedCtEqYonTWJJegkfOWFlkOolC40AgQuH0HULCH&#10;oGCLFYopbAQFz7IHoQANAgeuF2otdBuuU/P9QwKnBa6zcgA3u4sGp0fDj8/mf/6EJI9tDALXchUI&#10;FgzY0YHjC6oQMPADOegwIVCweG8jhJU9vLLVT+RPg2yl239AIlXBCZUk8a7ohM/OZnrP7gKzuGtY&#10;crciFMftCMV0oCQF2YHJdlxtW3z/Bk7Zg+lGK3Y9G+0YmMD2a89OEZN27Da1To5wRoSjYjqOtLI4&#10;WgJTz0w3uCp7MN0PMHlrYJKu68ZWzgk9ZeUs2/Oll7QAk+vYYEKVmZNNezN3517zjjGTvwYmfysz&#10;F/o6aAwDTweNHTH5XcRo+Sq42mPpvmMJMk0rVi7YCkt9AiLUKYYFL+2x9O9H8zvGS5Bu0lhay/FI&#10;j3lja9fneMIxBHcrbrh2mzxbevbD7HSPMjz/17jeAl1djwZo0THjRnke3wmUJ/0mHHRItodDlx68&#10;PrDahdDcAl0NwOG2GWDLHuuEeOe/aDyEjqx/L+hhOFW8w1gYzABb26WAgRp0XARYWDsN0KZijwVB&#10;tjuMhT7/O//2+dXvv81/foGs7XLAQaADGsv01lMtMtYRwbGjoDXMCfJA5GNKm+kiEyzOW7JE8xZO&#10;vgR+SasSjjrhmAeNxSmPck+W+wC2l/r4vorX4b3ysEmqojuEkAdHg6dI73lqeSeMVp9Qnr982oFz&#10;u6SyPX4bODVJ3QjOkqT87rHphV3CaI/Nuzw3k8fr8OmB3Oz6MwnxbcPyPZSXP+Y4+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BdXUm2gAAAAoBAAAPAAAAAAAAAAEAIAAAACIAAABkcnMvZG93bnJl&#10;di54bWxQSwECFAAUAAAACACHTuJAerJ9N6cEAAAUIgAADgAAAAAAAAABACAAAAApAQAAZHJzL2Uy&#10;b0RvYy54bWxQSwUGAAAAAAYABgBZAQAAQggAAAAA&#10;">
                <o:lock v:ext="edit" aspectratio="f"/>
                <v:line id="_x0000_s1026" o:spid="_x0000_s1026" o:spt="20" style="position:absolute;left:4680;top:12216;height:0;width:2701;" filled="f" stroked="t" coordsize="21600,21600" o:gfxdata="UEsDBAoAAAAAAIdO4kAAAAAAAAAAAAAAAAAEAAAAZHJzL1BLAwQUAAAACACHTuJAdfvSrrYAAADa&#10;AAAADwAAAGRycy9kb3ducmV2LnhtbEVPSwrCMBDdC94hjOBOU0VUqqmIILhR8XOAoRnbYjMpTazW&#10;0xtBcDU83neWq5cpRUO1KywrGA0jEMSp1QVnCq6X7WAOwnlkjaVlUtCSg1XS7Swx1vbJJ2rOPhMh&#10;hF2MCnLvq1hKl+Zk0A1tRRy4m60N+gDrTOoanyHclHIcRVNpsODQkGNFm5zS+/lhFJw29jBbV5Pj&#10;7uD3t9n73VKatUr1e6NoAcLTy//FP/dOh/nwfeV7ZfI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X70q62AAAA2gAAAA8A&#10;AAAAAAAAAQAgAAAAIgAAAGRycy9kb3ducmV2LnhtbFBLAQIUABQAAAAIAIdO4kAzLwWeOwAAADkA&#10;AAAQAAAAAAAAAAEAIAAAAAUBAABkcnMvc2hhcGV4bWwueG1sUEsFBgAAAAAGAAYAWwEAAK8DAAAA&#10;AA==&#10;">
                  <v:fill on="f" focussize="0,0"/>
                  <v:stroke weight="1.25pt" color="#000000" joinstyle="round"/>
                  <v:imagedata o:title=""/>
                  <o:lock v:ext="edit" aspectratio="f"/>
                </v:line>
                <v:line id="_x0000_s1026" o:spid="_x0000_s1026" o:spt="20" style="position:absolute;left:6120;top:12216;height:469;width:0;" filled="f" stroked="t" coordsize="21600,21600" o:gfxdata="UEsDBAoAAAAAAIdO4kAAAAAAAAAAAAAAAAAEAAAAZHJzL1BLAwQUAAAACACHTuJA2eiD8bwAAADa&#10;AAAADwAAAGRycy9kb3ducmV2LnhtbEWPT2sCMRTE7wW/Q3hCb91kF2pl3SgoWArtwaro9bF57i5u&#10;XpYk/um3b4RCj8PM/IapFnfbiyv50DnWkGcKBHHtTMeNhv1u/TIFESKywd4xafihAIv56KnC0rgb&#10;f9N1GxuRIBxK1NDGOJRShroliyFzA3HyTs5bjEn6RhqPtwS3vSyUmkiLHaeFFgdatVSftxer4ehf&#10;efOlpH0/DXTAt8/mvLxstH4e52oGItI9/of/2h9GQwGPK+kG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og/G8AAAA&#10;2g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rect id="_x0000_s1026" o:spid="_x0000_s1026" o:spt="1" style="position:absolute;left:4140;top:8603;height:783;width:3780;" fillcolor="#FFFFFF" filled="t" stroked="t" coordsize="21600,21600" o:gfxdata="UEsDBAoAAAAAAIdO4kAAAAAAAAAAAAAAAAAEAAAAZHJzL1BLAwQUAAAACACHTuJAjrF2+bsAAADa&#10;AAAADwAAAGRycy9kb3ducmV2LnhtbEWPW4vCMBSE3xf8D+EIvmmqokjXKEW8vbleYF8PzbHtbnMS&#10;mlj13xthYR+HmfmGmS8fphYtNb6yrGA4SEAQ51ZXXCi4nDf9GQgfkDXWlknBkzwsF52POaba3vlI&#10;7SkUIkLYp6igDMGlUvq8JIN+YB1x9K62MRiibAqpG7xHuKnlKEmm0mDFcaFER6uS8t/TzSiY7Oib&#10;Jj+3/VdNrbtm6+ywdZlSve4w+QQR6BH+w3/tvVYwhveVe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F2+bsAAADa&#10;AAAADwAAAAAAAAABACAAAAAiAAAAZHJzL2Rvd25yZXYueG1sUEsBAhQAFAAAAAgAh07iQDMvBZ47&#10;AAAAOQAAABAAAAAAAAAAAQAgAAAACgEAAGRycy9zaGFwZXhtbC54bWxQSwUGAAAAAAYABgBbAQAA&#10;tAMAAAAA&#10;">
                  <v:fill on="t" focussize="0,0"/>
                  <v:stroke weight="1.25pt" color="#000000" joinstyle="miter"/>
                  <v:imagedata o:title=""/>
                  <o:lock v:ext="edit" aspectratio="f"/>
                  <v:textbox>
                    <w:txbxContent>
                      <w:p>
                        <w:r>
                          <w:rPr>
                            <w:rFonts w:hint="eastAsia" w:ascii="宋体" w:hAnsi="宋体"/>
                            <w:b/>
                            <w:color w:val="000000"/>
                            <w:kern w:val="0"/>
                            <w:sz w:val="28"/>
                            <w:szCs w:val="28"/>
                          </w:rPr>
                          <w:t xml:space="preserve">   岭南区域营养创新平台</w:t>
                        </w:r>
                      </w:p>
                    </w:txbxContent>
                  </v:textbox>
                </v:rect>
                <v:rect id="_x0000_s1026" o:spid="_x0000_s1026" o:spt="1" style="position:absolute;left:3420;top:10320;height:779;width:2341;" fillcolor="#FFFFFF" filled="t" stroked="t" coordsize="21600,21600" o:gfxdata="UEsDBAoAAAAAAIdO4kAAAAAAAAAAAAAAAAAEAAAAZHJzL1BLAwQUAAAACACHTuJAAVjujbsAAADa&#10;AAAADwAAAGRycy9kb3ducmV2LnhtbEWPW4vCMBSE3xf8D+EIvmmqqEjXKEW8vbleYF8PzbHtbnMS&#10;mlj13xthYR+HmfmGmS8fphYtNb6yrGA4SEAQ51ZXXCi4nDf9GQgfkDXWlknBkzwsF52POaba3vlI&#10;7SkUIkLYp6igDMGlUvq8JIN+YB1x9K62MRiibAqpG7xHuKnlKEmm0mDFcaFER6uS8t/TzSiY7Oib&#10;Jj+3/VdNrbtm6+ywdZlSve4w+QQR6BH+w3/tvVYwhveVe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jujbsAAADa&#10;AAAADwAAAAAAAAABACAAAAAiAAAAZHJzL2Rvd25yZXYueG1sUEsBAhQAFAAAAAgAh07iQDMvBZ47&#10;AAAAOQAAABAAAAAAAAAAAQAgAAAACgEAAGRycy9zaGFwZXhtbC54bWxQSwUGAAAAAAYABgBbAQAA&#10;tAMAAAAA&#10;">
                  <v:fill on="t" focussize="0,0"/>
                  <v:stroke weight="1.25pt" color="#000000" joinstyle="miter"/>
                  <v:imagedata o:title=""/>
                  <o:lock v:ext="edit" aspectratio="f"/>
                  <v:textbox>
                    <w:txbxContent>
                      <w:p>
                        <w:pPr>
                          <w:rPr>
                            <w:rFonts w:hint="eastAsia"/>
                            <w:b/>
                            <w:sz w:val="28"/>
                            <w:szCs w:val="28"/>
                          </w:rPr>
                        </w:pPr>
                        <w:r>
                          <w:rPr>
                            <w:rFonts w:hint="eastAsia"/>
                          </w:rPr>
                          <w:t xml:space="preserve">   </w:t>
                        </w:r>
                        <w:r>
                          <w:rPr>
                            <w:rFonts w:hint="eastAsia"/>
                            <w:b/>
                            <w:sz w:val="28"/>
                            <w:szCs w:val="28"/>
                          </w:rPr>
                          <w:t>管理委员会</w:t>
                        </w:r>
                      </w:p>
                    </w:txbxContent>
                  </v:textbox>
                </v:rect>
                <v:rect id="_x0000_s1026" o:spid="_x0000_s1026" o:spt="1" style="position:absolute;left:6301;top:10331;height:780;width:2340;" fillcolor="#FFFFFF" filled="t" stroked="t" coordsize="21600,21600" o:gfxdata="UEsDBAoAAAAAAIdO4kAAAAAAAAAAAAAAAAAEAAAAZHJzL1BLAwQUAAAACACHTuJAbhRLFrkAAADa&#10;AAAADwAAAGRycy9kb3ducmV2LnhtbEWPW4vCMBSE3xf8D+EIvq2pgiJdo5TF25tX8PXQHNvuNieh&#10;iVX/vREEH4eZb4aZzu+mFi01vrKsYNBPQBDnVldcKDgdl98TED4ga6wtk4IHeZjPOl9TTLW98Z7a&#10;QyhELGGfooIyBJdK6fOSDPq+dcTRu9jGYIiyKaRu8BbLTS2HSTKWBiuOCyU6+i0p/z9cjYLRms40&#10;+rtudjW17pItsu3KZUr1uoPkB0Sge/iE3/RGRw5eV+INkL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USxa5AAAA2gAA&#10;AA8AAAAAAAAAAQAgAAAAIgAAAGRycy9kb3ducmV2LnhtbFBLAQIUABQAAAAIAIdO4kAzLwWeOwAA&#10;ADkAAAAQAAAAAAAAAAEAIAAAAAgBAABkcnMvc2hhcGV4bWwueG1sUEsFBgAAAAAGAAYAWwEAALID&#10;AAAAAA==&#10;">
                  <v:fill on="t" focussize="0,0"/>
                  <v:stroke weight="1.25pt" color="#000000" joinstyle="miter"/>
                  <v:imagedata o:title=""/>
                  <o:lock v:ext="edit" aspectratio="f"/>
                  <v:textbox>
                    <w:txbxContent>
                      <w:p>
                        <w:pPr>
                          <w:rPr>
                            <w:rFonts w:hint="eastAsia"/>
                            <w:b/>
                            <w:sz w:val="28"/>
                            <w:szCs w:val="28"/>
                          </w:rPr>
                        </w:pPr>
                        <w:r>
                          <w:rPr>
                            <w:rFonts w:hint="eastAsia"/>
                            <w:sz w:val="28"/>
                            <w:szCs w:val="28"/>
                          </w:rPr>
                          <w:t xml:space="preserve">   </w:t>
                        </w:r>
                        <w:r>
                          <w:rPr>
                            <w:rFonts w:hint="eastAsia"/>
                            <w:b/>
                            <w:sz w:val="28"/>
                            <w:szCs w:val="28"/>
                          </w:rPr>
                          <w:t>专家委员会</w:t>
                        </w:r>
                      </w:p>
                    </w:txbxContent>
                  </v:textbox>
                </v:rect>
                <v:rect id="_x0000_s1026" o:spid="_x0000_s1026" o:spt="1" style="position:absolute;left:3960;top:12672;height:782;width:4323;" fillcolor="#FFFFFF" filled="t" stroked="t" coordsize="21600,21600" o:gfxdata="UEsDBAoAAAAAAIdO4kAAAAAAAAAAAAAAAAAEAAAAZHJzL1BLAwQUAAAACACHTuJAnsbVYbwAAADa&#10;AAAADwAAAGRycy9kb3ducmV2LnhtbEWPzWrDMBCE74W8g9hCb42cgE1xowRT8uNb0rTQ62JtbLfW&#10;Sliyk759FAjkOMzMN8xidTGdGKn3rWUFs2kCgriyuuVawffX5vUNhA/IGjvLpOCfPKyWk6cF5tqe&#10;+ZPGY6hFhLDPUUETgsul9FVDBv3UOuLonWxvMETZ11L3eI5w08l5kmTSYMtxoUFHHw1Vf8fBKEh3&#10;9EPp71AeOhrdqVgX+60rlHp5niXvIAJdwiN8b5daQQa3K/EG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G1WG8AAAA&#10;2gAAAA8AAAAAAAAAAQAgAAAAIgAAAGRycy9kb3ducmV2LnhtbFBLAQIUABQAAAAIAIdO4kAzLwWe&#10;OwAAADkAAAAQAAAAAAAAAAEAIAAAAAsBAABkcnMvc2hhcGV4bWwueG1sUEsFBgAAAAAGAAYAWwEA&#10;ALUDAAAAAA==&#10;">
                  <v:fill on="t" focussize="0,0"/>
                  <v:stroke weight="1.25pt" color="#000000" joinstyle="miter"/>
                  <v:imagedata o:title=""/>
                  <o:lock v:ext="edit" aspectratio="f"/>
                  <v:textbox>
                    <w:txbxContent>
                      <w:p>
                        <w:pPr>
                          <w:rPr>
                            <w:rFonts w:hint="eastAsia"/>
                            <w:b/>
                            <w:sz w:val="28"/>
                            <w:szCs w:val="28"/>
                          </w:rPr>
                        </w:pPr>
                        <w:r>
                          <w:rPr>
                            <w:rFonts w:hint="eastAsia"/>
                            <w:sz w:val="28"/>
                            <w:szCs w:val="28"/>
                          </w:rPr>
                          <w:t xml:space="preserve">         </w:t>
                        </w:r>
                        <w:r>
                          <w:rPr>
                            <w:rFonts w:hint="eastAsia"/>
                            <w:b/>
                            <w:sz w:val="28"/>
                            <w:szCs w:val="28"/>
                          </w:rPr>
                          <w:t>平台秘书处</w:t>
                        </w:r>
                      </w:p>
                    </w:txbxContent>
                  </v:textbox>
                </v:rect>
                <v:rect id="_x0000_s1026" o:spid="_x0000_s1026" o:spt="1" style="position:absolute;left:9721;top:9863;height:1716;width:719;" fillcolor="#FFFFFF" filled="t" stroked="t" coordsize="21600,21600" o:gfxdata="UEsDBAoAAAAAAIdO4kAAAAAAAAAAAAAAAAAEAAAAZHJzL1BLAwQUAAAACACHTuJA8Ypw+rwAAADa&#10;AAAADwAAAGRycy9kb3ducmV2LnhtbEWPQWvCQBSE74L/YXlCb83GQtoSXSWUtnqrTQteH9lnEs2+&#10;XbJrov++WxA8DjPzDbNcX0wnBup9a1nBPElBEFdWt1wr+P35eHwF4QOyxs4yKbiSh/VqOlliru3I&#10;3zSUoRYRwj5HBU0ILpfSVw0Z9Il1xNE72N5giLKvpe5xjHDTyac0fZYGW44LDTp6a6g6lWejINvQ&#10;nrLjebvraHCH4r34+nSFUg+zeboAEegS7uFbe6sVvMD/lXg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KcPq8AAAA&#10;2gAAAA8AAAAAAAAAAQAgAAAAIgAAAGRycy9kb3ducmV2LnhtbFBLAQIUABQAAAAIAIdO4kAzLwWe&#10;OwAAADkAAAAQAAAAAAAAAAEAIAAAAAsBAABkcnMvc2hhcGV4bWwueG1sUEsFBgAAAAAGAAYAWwEA&#10;ALUDAAAAAA==&#10;">
                  <v:fill on="t" focussize="0,0"/>
                  <v:stroke weight="1.25pt" color="#000000" joinstyle="miter"/>
                  <v:imagedata o:title=""/>
                  <o:lock v:ext="edit" aspectratio="f"/>
                  <v:textbox>
                    <w:txbxContent>
                      <w:p>
                        <w:pPr>
                          <w:rPr>
                            <w:rFonts w:hint="eastAsia"/>
                            <w:b/>
                            <w:sz w:val="28"/>
                            <w:szCs w:val="28"/>
                          </w:rPr>
                        </w:pPr>
                        <w:r>
                          <w:rPr>
                            <w:rFonts w:hint="eastAsia"/>
                            <w:b/>
                            <w:sz w:val="28"/>
                            <w:szCs w:val="28"/>
                          </w:rPr>
                          <w:t>咨询</w:t>
                        </w:r>
                      </w:p>
                    </w:txbxContent>
                  </v:textbox>
                </v:rect>
                <v:rect id="_x0000_s1026" o:spid="_x0000_s1026" o:spt="1" style="position:absolute;left:1621;top:9851;height:1716;width:719;" fillcolor="#FFFFFF" filled="t" stroked="t" coordsize="21600,21600" o:gfxdata="UEsDBAoAAAAAAIdO4kAAAAAAAAAAAAAAAAAEAAAAZHJzL1BLAwQUAAAACACHTuJAgBXkiLgAAADa&#10;AAAADwAAAGRycy9kb3ducmV2LnhtbEVPy4rCMBTdD/gP4QruxlRBGappKeJr54wz4PbSXNtqcxOa&#10;WPXvzUKY5eG8l/nDtKKnzjeWFUzGCQji0uqGKwV/v5vPLxA+IGtsLZOCJ3nIs8HHElNt7/xD/TFU&#10;IoawT1FBHYJLpfRlTQb92DriyJ1tZzBE2FVSd3iP4aaV0ySZS4MNx4YaHa1qKq/Hm1Ew29GJZpfb&#10;/rul3p2LdXHYukKp0XCSLEAEeoR/8du91wri1ngl3gCZv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BXkiLgAAADaAAAA&#10;DwAAAAAAAAABACAAAAAiAAAAZHJzL2Rvd25yZXYueG1sUEsBAhQAFAAAAAgAh07iQDMvBZ47AAAA&#10;OQAAABAAAAAAAAAAAQAgAAAABwEAAGRycy9zaGFwZXhtbC54bWxQSwUGAAAAAAYABgBbAQAAsQMA&#10;AAAA&#10;">
                  <v:fill on="t" focussize="0,0"/>
                  <v:stroke weight="1.25pt" color="#000000" joinstyle="miter"/>
                  <v:imagedata o:title=""/>
                  <o:lock v:ext="edit" aspectratio="f"/>
                  <v:textbox>
                    <w:txbxContent>
                      <w:p>
                        <w:pPr>
                          <w:rPr>
                            <w:rFonts w:hint="eastAsia"/>
                            <w:b/>
                            <w:sz w:val="28"/>
                            <w:szCs w:val="28"/>
                          </w:rPr>
                        </w:pPr>
                        <w:r>
                          <w:rPr>
                            <w:rFonts w:hint="eastAsia"/>
                            <w:b/>
                            <w:sz w:val="28"/>
                            <w:szCs w:val="28"/>
                          </w:rPr>
                          <w:t>决策</w:t>
                        </w:r>
                      </w:p>
                    </w:txbxContent>
                  </v:textbox>
                </v:rect>
                <v:line id="_x0000_s1026" o:spid="_x0000_s1026" o:spt="20" style="position:absolute;left:4680;top:9540;height:624;width:0;" filled="f" stroked="t" coordsize="21600,21600" o:gfxdata="UEsDBAoAAAAAAIdO4kAAAAAAAAAAAAAAAAAEAAAAZHJzL1BLAwQUAAAACACHTuJA10wRgLoAAADa&#10;AAAADwAAAGRycy9kb3ducmV2LnhtbEWPS4sCMRCE74L/IbSwtzVR2F0djYLCLsJ68IVem0k7Mzjp&#10;DEl8/XsjCB6LqvqKGk9vthYX8qFyrKHXVSCIc2cqLjTstr+fAxAhIhusHZOGOwWYTtqtMWbGXXlN&#10;l00sRIJwyFBDGWOTSRnykiyGrmuIk3d03mJM0hfSeLwmuK1lX6lvabHitFBiQ/OS8tPmbDUc/Bev&#10;lkrav2NDe/z5L06z80rrj05PjUBEusV3+NVeGA1DeF5JN0BO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TBGAugAAANo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7381;top:9540;height:624;width:1;" filled="f" stroked="t" coordsize="21600,21600" o:gfxdata="UEsDBAoAAAAAAIdO4kAAAAAAAAAAAAAAAAAEAAAAZHJzL1BLAwQUAAAACACHTuJA5R0PwLwAAADb&#10;AAAADwAAAGRycy9kb3ducmV2LnhtbEWPT2sCMRDF7wW/Qxiht5pY0MpqFBQsQj1YFb0Om3F3cTNZ&#10;kvin375zKPQ2w3vz3m9mi6dv1Z1iagJbGA4MKOIyuIYrC8fD+m0CKmVkh21gsvBDCRbz3ssMCxce&#10;/E33fa6UhHAq0EKdc1doncqaPKZB6IhFu4ToMcsaK+0iPiTct/rdmLH22LA01NjRqqbyur95C+c4&#10;4t3WaP956eiEH1/VdXnbWfvaH5opqEzP/G/+u944wRd6+UUG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dD8C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_x0000_s1026" o:spid="_x0000_s1026" o:spt="20" style="position:absolute;left:4680;top:11255;height:935;width:1;" filled="f" stroked="t" coordsize="21600,21600" o:gfxdata="UEsDBAoAAAAAAIdO4kAAAAAAAAAAAAAAAAAEAAAAZHJzL1BLAwQUAAAACACHTuJAlINfObcAAADb&#10;AAAADwAAAGRycy9kb3ducmV2LnhtbEVPSwrCMBDdC94hjODOphVRqUYRQXCj4ucAQzO2xWZSmvip&#10;pzeC4G4e7zvz5ctU4kGNKy0rSKIYBHFmdcm5gst5M5iCcB5ZY2WZFLTkYLnoduaYavvkIz1OPhch&#10;hF2KCgrv61RKlxVk0EW2Jg7c1TYGfYBNLnWDzxBuKjmM47E0WHJoKLCmdUHZ7XQ3Co5ru5+s6tFh&#10;u/e76+T9binLW6X6vSSegfD08n/xz73VYX4C31/CAXL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g185twAAANs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line id="_x0000_s1026" o:spid="_x0000_s1026" o:spt="20" style="position:absolute;left:7380;top:11256;height:935;width:0;" filled="f" stroked="t" coordsize="21600,21600" o:gfxdata="UEsDBAoAAAAAAIdO4kAAAAAAAAAAAAAAAAAEAAAAZHJzL1BLAwQUAAAACACHTuJAZFHBTrcAAADb&#10;AAAADwAAAGRycy9kb3ducmV2LnhtbEVPSwrCMBDdC94hjOBOU0VUqqmIILhR8XOAoRnbYjMpTazW&#10;0xtBcDeP953l6mVK0VDtCssKRsMIBHFqdcGZgutlO5iDcB5ZY2mZFLTkYJV0O0uMtX3yiZqzz0QI&#10;YRejgtz7KpbSpTkZdENbEQfuZmuDPsA6k7rGZwg3pRxH0VQaLDg05FjRJqf0fn4YBaeNPczW1eS4&#10;O/j9bfZ+t5RmrVL93ihagPD08n/xz73TYf4Yvr+EA2Ty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UcFOtwAAANsAAAAP&#10;AAAAAAAAAAEAIAAAACIAAABkcnMvZG93bnJldi54bWxQSwECFAAUAAAACACHTuJAMy8FnjsAAAA5&#10;AAAAEAAAAAAAAAABACAAAAAGAQAAZHJzL3NoYXBleG1sLnhtbFBLBQYAAAAABgAGAFsBAACwAwAA&#10;AAA=&#10;">
                  <v:fill on="f" focussize="0,0"/>
                  <v:stroke weight="1.25pt" color="#000000" joinstyle="round"/>
                  <v:imagedata o:title=""/>
                  <o:lock v:ext="edit" aspectratio="f"/>
                </v:line>
                <v:shape id="_x0000_s1026" o:spid="_x0000_s1026" o:spt="13" type="#_x0000_t13" style="position:absolute;left:8821;top:10631;height:312;width:721;" fillcolor="#FFFFFF" filled="t" stroked="t" coordsize="21600,21600" o:gfxdata="UEsDBAoAAAAAAIdO4kAAAAAAAAAAAAAAAAAEAAAAZHJzL1BLAwQUAAAACACHTuJAp4khcLsAAADb&#10;AAAADwAAAGRycy9kb3ducmV2LnhtbEVPTYvCMBC9C/sfwix4EU2r4K7VKKwgCB7U7uJ5bGbb0mZS&#10;mmj13xtB8DaP9zmL1c3U4kqtKy0riEcRCOLM6pJzBX+/m+E3COeRNdaWScGdHKyWH70FJtp2fKRr&#10;6nMRQtglqKDwvkmkdFlBBt3INsSB+7etQR9gm0vdYhfCTS3HUTSVBksODQU2tC4oq9KLUdB9jY8b&#10;PlSz3aDcx7tZaqqf80mp/mcczUF4uvm3+OXe6jB/As9fwg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khcLsAAADb&#10;AAAADwAAAAAAAAABACAAAAAiAAAAZHJzL2Rvd25yZXYueG1sUEsBAhQAFAAAAAgAh07iQDMvBZ47&#10;AAAAOQAAABAAAAAAAAAAAQAgAAAACgEAAGRycy9zaGFwZXhtbC54bWxQSwUGAAAAAAYABgBbAQAA&#10;tAMAAAAA&#10;" adj="16201,5400">
                  <v:fill on="t" focussize="0,0"/>
                  <v:stroke weight="1.25pt" color="#000000" joinstyle="miter"/>
                  <v:imagedata o:title=""/>
                  <o:lock v:ext="edit" aspectratio="f"/>
                </v:shape>
                <v:shape id="_x0000_s1026" o:spid="_x0000_s1026" o:spt="66" type="#_x0000_t66" style="position:absolute;left:2521;top:10631;height:312;width:720;" fillcolor="#FFFFFF" filled="t" stroked="t" coordsize="21600,21600" o:gfxdata="UEsDBAoAAAAAAIdO4kAAAAAAAAAAAAAAAAAEAAAAZHJzL1BLAwQUAAAACACHTuJAPzZtX7kAAADb&#10;AAAADwAAAGRycy9kb3ducmV2LnhtbEVPy6rCMBDdC/5DGOFuRFMvKrUaBS8ouvSBbodmbEubSW1y&#10;ffy9EQR3czjPmS0ephI3alxhWcGgH4EgTq0uOFNwPKx6MQjnkTVWlknBkxws5u3WDBNt77yj295n&#10;IoSwS1BB7n2dSOnSnAy6vq2JA3exjUEfYJNJ3eA9hJtK/kbRWBosODTkWNNfTmm5/zcKsnO5XD+N&#10;Lid2c12O4tWpu7VGqZ/OIJqC8PTwX/HHvdFh/hDev4QD5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82bV+5AAAA2wAA&#10;AA8AAAAAAAAAAQAgAAAAIgAAAGRycy9kb3ducmV2LnhtbFBLAQIUABQAAAAIAIdO4kAzLwWeOwAA&#10;ADkAAAAQAAAAAAAAAAEAIAAAAAgBAABkcnMvc2hhcGV4bWwueG1sUEsFBgAAAAAGAAYAWwEAALID&#10;AAAAAA==&#10;" adj="5399,5400">
                  <v:fill on="t" focussize="0,0"/>
                  <v:stroke weight="1.25pt" color="#000000" joinstyle="miter"/>
                  <v:imagedata o:title=""/>
                  <o:lock v:ext="edit" aspectratio="f"/>
                </v:shape>
              </v:group>
            </w:pict>
          </mc:Fallback>
        </mc:AlternateContent>
      </w:r>
    </w:p>
    <w:p>
      <w:pPr>
        <w:adjustRightInd w:val="0"/>
        <w:snapToGrid w:val="0"/>
        <w:spacing w:line="360" w:lineRule="auto"/>
        <w:rPr>
          <w:rFonts w:hint="default" w:ascii="Times New Roman" w:hAnsi="Times New Roman" w:eastAsia="仿宋_GB2312" w:cs="Times New Roman"/>
          <w:b/>
          <w:bCs/>
          <w:color w:val="000000"/>
          <w:sz w:val="32"/>
          <w:szCs w:val="32"/>
        </w:rPr>
      </w:pPr>
    </w:p>
    <w:p>
      <w:pPr>
        <w:adjustRightInd w:val="0"/>
        <w:snapToGrid w:val="0"/>
        <w:spacing w:line="360" w:lineRule="auto"/>
        <w:rPr>
          <w:rFonts w:hint="default" w:ascii="Times New Roman" w:hAnsi="Times New Roman" w:eastAsia="仿宋_GB2312" w:cs="Times New Roman"/>
          <w:b/>
          <w:bCs/>
          <w:color w:val="000000"/>
          <w:sz w:val="32"/>
          <w:szCs w:val="32"/>
        </w:rPr>
      </w:pPr>
    </w:p>
    <w:p>
      <w:pPr>
        <w:adjustRightInd w:val="0"/>
        <w:snapToGrid w:val="0"/>
        <w:spacing w:line="360" w:lineRule="auto"/>
        <w:rPr>
          <w:rFonts w:hint="default" w:ascii="Times New Roman" w:hAnsi="Times New Roman" w:eastAsia="仿宋_GB2312" w:cs="Times New Roman"/>
          <w:b/>
          <w:bCs/>
          <w:color w:val="000000"/>
          <w:sz w:val="32"/>
          <w:szCs w:val="32"/>
        </w:rPr>
      </w:pPr>
    </w:p>
    <w:p>
      <w:pPr>
        <w:spacing w:line="360" w:lineRule="auto"/>
        <w:ind w:right="560"/>
        <w:jc w:val="left"/>
        <w:rPr>
          <w:rFonts w:hint="default" w:ascii="Times New Roman" w:hAnsi="Times New Roman" w:eastAsia="仿宋_GB2312" w:cs="Times New Roman"/>
          <w:b/>
          <w:color w:val="000000"/>
          <w:kern w:val="0"/>
          <w:sz w:val="32"/>
          <w:szCs w:val="32"/>
          <w:lang w:val="en-US" w:eastAsia="zh-CN"/>
        </w:rPr>
      </w:pPr>
    </w:p>
    <w:p>
      <w:pPr>
        <w:spacing w:line="360" w:lineRule="auto"/>
        <w:ind w:right="560"/>
        <w:jc w:val="center"/>
        <w:rPr>
          <w:rFonts w:hint="default" w:ascii="Times New Roman" w:hAnsi="Times New Roman" w:eastAsia="方正小标宋简体" w:cs="Times New Roman"/>
          <w:b/>
          <w:color w:val="000000"/>
          <w:kern w:val="0"/>
          <w:sz w:val="44"/>
          <w:szCs w:val="44"/>
        </w:rPr>
      </w:pPr>
    </w:p>
    <w:p>
      <w:pPr>
        <w:spacing w:line="360" w:lineRule="auto"/>
        <w:ind w:right="560"/>
        <w:jc w:val="both"/>
        <w:rPr>
          <w:rFonts w:hint="default" w:ascii="Times New Roman" w:hAnsi="Times New Roman" w:cs="Times New Roman"/>
          <w:b/>
          <w:color w:val="000000"/>
          <w:kern w:val="0"/>
          <w:sz w:val="32"/>
          <w:szCs w:val="32"/>
          <w:lang w:eastAsia="zh-CN"/>
        </w:rPr>
      </w:pPr>
    </w:p>
    <w:p>
      <w:pPr>
        <w:spacing w:line="360" w:lineRule="auto"/>
        <w:ind w:right="560"/>
        <w:jc w:val="both"/>
        <w:rPr>
          <w:rFonts w:hint="default" w:ascii="Times New Roman" w:hAnsi="Times New Roman" w:cs="Times New Roman"/>
          <w:b/>
          <w:color w:val="000000"/>
          <w:kern w:val="0"/>
          <w:sz w:val="32"/>
          <w:szCs w:val="32"/>
          <w:lang w:eastAsia="zh-CN"/>
        </w:rPr>
      </w:pPr>
    </w:p>
    <w:p>
      <w:pPr>
        <w:pStyle w:val="2"/>
        <w:rPr>
          <w:rFonts w:hint="default" w:ascii="Times New Roman" w:hAnsi="Times New Roman" w:cs="Times New Roman"/>
          <w:lang w:eastAsia="zh-CN"/>
        </w:rPr>
      </w:pPr>
    </w:p>
    <w:p>
      <w:bookmarkStart w:id="1" w:name="_GoBack"/>
      <w:bookmarkEnd w:id="1"/>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244E8"/>
    <w:rsid w:val="2B8244E8"/>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2020-09-01T08:32:00Z</dcterms:created>
  <dc:creator>eva</dc:creator>
  <cp:lastModifiedBy>eva</cp:lastModifiedBy>
  <dcterms:modified xsi:type="dcterms:W3CDTF">2020-09-01T08:32:41Z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