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黑体" w:hAnsi="宋体" w:eastAsia="黑体" w:cs="黑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附件</w:t>
      </w:r>
      <w:bookmarkStart w:id="0" w:name="_GoBack"/>
      <w:bookmarkEnd w:id="0"/>
    </w:p>
    <w:tbl>
      <w:tblPr>
        <w:tblStyle w:val="2"/>
        <w:tblW w:w="967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3"/>
        <w:gridCol w:w="1050"/>
        <w:gridCol w:w="3240"/>
        <w:gridCol w:w="1935"/>
        <w:gridCol w:w="1380"/>
        <w:gridCol w:w="12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96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2020年6月广东省卫生健康委乙类大型医用设备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配置许可情况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地市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机构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许可证号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设备类型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配置台数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</w:t>
            </w:r>
          </w:p>
        </w:tc>
        <w:tc>
          <w:tcPr>
            <w:tcW w:w="89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64排及以上X线计算机断层扫描仪（12台）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汕头市中医医院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乙1903300089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128排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汕头市澄海区人民医院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乙1903300090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128排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佛山市三水区人民医院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乙1903300091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128排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韶关市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粤北第二人民医院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乙1903200139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64排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陆河县人民医院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乙1903200142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64排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东莞市石排医院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乙1903200143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64排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东莞市厚街医院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乙1903200144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64排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东莞市长安医院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乙1903300094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128排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阳江市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阳江市人民医院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乙1903300093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256排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茂名市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茂名市电白区妇幼保健院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乙1903200140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64排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肇庆市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肇庆市第一人民医院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乙1903300092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256排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肇庆市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德庆县人民医院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乙1903200141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64排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</w:t>
            </w:r>
          </w:p>
        </w:tc>
        <w:tc>
          <w:tcPr>
            <w:tcW w:w="89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1.5T及以上磁共振成像系统（9台）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汕头市中医医院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乙1904200135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1.5T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汕头市澄海区人民医院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乙1904300105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3T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韶关市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粤北人民医院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乙1904300104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3T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韶关市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粤北第二人民医院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乙1904200134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1.5T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梅州市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蕉岭县中医医院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乙1904200136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1.5T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东莞市厚街医院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乙1904300108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3T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东莞市万江医院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乙1904200137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1.5T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阳江市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阳江市人民医院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乙1904300107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3T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肇庆市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肇庆市中医院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乙1904300106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3T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</w:t>
            </w:r>
          </w:p>
        </w:tc>
        <w:tc>
          <w:tcPr>
            <w:tcW w:w="89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伽玛射线立体定向放射治疗系统（1台）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广州泰和肿瘤医院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乙1906000007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</w:t>
            </w:r>
          </w:p>
        </w:tc>
        <w:tc>
          <w:tcPr>
            <w:tcW w:w="89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直线加速器（3台）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汕头市澄海区人民医院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乙1905100009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韶关市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翁源县人民医院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乙1905200012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东莞市东南部中心医院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乙1905200013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DC7CBF"/>
    <w:rsid w:val="549F0000"/>
    <w:rsid w:val="7BDC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C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2020-08-03T06:19:00Z</dcterms:created>
  <dc:creator>WUXS</dc:creator>
  <cp:lastModifiedBy>姚利</cp:lastModifiedBy>
  <dcterms:modified xsi:type="dcterms:W3CDTF">2020-08-03T06:39:58Z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