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tbl>
      <w:tblPr>
        <w:tblStyle w:val="2"/>
        <w:tblW w:w="83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972"/>
        <w:gridCol w:w="1472"/>
        <w:gridCol w:w="703"/>
        <w:gridCol w:w="42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40"/>
                <w:szCs w:val="40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二级公立医院绩效考核指标（综合、专科医院）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  <w:t>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  <w:t>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  <w:t>三级指标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  <w:t>性质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  <w:t>指标说明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一、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医疗质量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（一）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功能定位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出院患者手术占比▲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计算方法：出院患者手术人数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同期出院患者人数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指标来源：病案首页。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出院患者微创手术占比▲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计算方法：出院患者微创手术人数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同期出院患者手术人数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指标来源：病案首页。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出院患者三级手术占比▲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计算方法：出院患者三级手术人数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同期出院患者手术人数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指标来源：病案首页。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（二）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质量安全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4.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手术患者并发症发生率▲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计算方法：手术患者并发症发生人数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同期出院患者手术人数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指标来源：病案首页。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5.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低风险组病例死亡率▲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计算方法：低风险组死亡例数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低风险组病例数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指标来源：病案首页。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（三）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合理用药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6.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抗菌药物使用强度（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DDDs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计算方法：住院患者抗菌药物消耗量（累计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DDD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数）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同期收治患者人天数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。收治患者人天数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=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出院患者人数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出院患者平均住院天数。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指标来源：医院填报。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7.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基本药物采购金额占比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计算方法：医院采购基本药物金额数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医院同期采购药物金额总数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指标来源：省级药品集中采购平台。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一、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医疗质量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（三）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合理用药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国家组织药品集中采购中标药品金额占比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计算方法：中标药品采购金额数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同期采购同种药品金额总数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指标来源：医院填报。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9.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重点监控药品收入占比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计算方法：重点监控药品收入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同期药品总收入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指标来源：医院填报。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10.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重点监控高值医用耗材收入占比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计算方法：重点监控高值医用耗材收入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同期耗材总收入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指标来源：医院填报。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（四）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医疗服务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11.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电子病历应用功能水平分级▲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计算方法：按照国家卫生健康委电子病历应用功能水平分级标准评估。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指标来源：国家卫生健康委。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12.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省级空间质量评价临床检验项目参加率与合格率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计算方法：医院临床检验项目中参加和通过省级（本省份）临床检验中心组织的空间质量评价情况。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指标来源：省级卫生健康委。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13.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平均住院日▲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计算方法：出院患者占用总床日数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同期出院患者人数。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指标来源：病案首页。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运营效率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（五）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收支结构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14.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医疗盈亏率▲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计算方法：医疗盈亏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同期医疗活动收入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15.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资产负债率▲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计算方法：负债合计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同期资产合计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运营效率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（五）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收支结构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16.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人员经费占比▲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计算方法：人员经费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同期医疗活动费用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17.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万元收入能耗占比▲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计算方法：总能耗</w:t>
            </w:r>
            <w:r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同期总收入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  <w:t>10000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18.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医疗收入中来自医保基金的比例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）门诊收入中来自医保基金的比例：门诊收入中来自医保基金的收入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门诊收入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）住院收入中来自医保基金的比例：住院收入中来自医保基金的收入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住院收入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19.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医疗服务收入（不含药品、耗材、检查检验收入）占医疗收入比例▲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计算方法：医疗服务收入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同期医疗收入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（六）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费用控制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20.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医疗收入增幅▲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）门诊收入增幅：（本年度门诊收入一上一年度门诊收入）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上一年度门诊收入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）住院收入增幅：（本年度住院收入一上一年度住院收入）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上一年度住院收入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运营效率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（六）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费用控制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21.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次均费用增幅▲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）门诊次均费用增幅：（本年度门诊患者次均医药费用一上一年度门诊患者次均医药费用）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上一年度门诊患者次均医药费用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。门诊患者次均医药费用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=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门诊收入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门诊人次数。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）住院次均费用增幅：（本年度出院患者次均医药费用一上一年度出院患者次均医药费用）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上一年度出院患者次均医药费用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。出院患者次均医药费用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=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出院患者住院费用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出院人次数。由于整体出院患者平均医药费用受多种因素影响，为使数据尽量可比，通过疾病严重程度（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CMI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）调整。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  <w:jc w:val="center"/>
        </w:trPr>
        <w:tc>
          <w:tcPr>
            <w:tcW w:w="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22.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次均药品费用增幅▲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）门诊次均药品费用增幅：（本年度门诊患者次均药品费用一上一年度门诊患者次均药品费用）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上一年度门诊患者次均药品费用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。门诊患者次均药品费用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=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门诊药品收入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门诊人次数。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）护院次均药品费用增幅：（本年度出院患者次均药品费用一上一年度出院患者次均药品费用）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上一年度出院患者次均药品费用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。出院患者次均药品费用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=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出院患者药品费用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出院人次数。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指标来源：财务年报表。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三、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持续发展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（七）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人员结构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23.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医护比▲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计算方法：医院注册执业（助理）医师总数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全院同期注册护士总数。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指标来源：国家医疗机构、医师、护士电子化注册系统。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24.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麻醉、儿科、重症、病例、中医医师占比▲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计算方法：医院注册的麻醉、儿科、重症、病理、中医在岗医师数/全院同期医师总数◊100%；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指标来源：国家医疗机构、医师、护士电子化注册系统。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三、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持续发展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（八）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学科建设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人才培养经费投入占比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计算方法：人才培养经费投入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医院当年总经费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◊</w:t>
            </w:r>
            <w:r>
              <w:rPr>
                <w:rStyle w:val="7"/>
                <w:rFonts w:hint="default" w:ascii="Times New Roman" w:hAnsi="Times New Roman" w:eastAsia="等线" w:cs="Times New Roman"/>
                <w:lang w:bidi="ar"/>
              </w:rPr>
              <w:t>100%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指标来源：医院填报。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专科能力▲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计算方法：专科病种医疗服务相关指标评价。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指标来源：病案首页。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四、</w:t>
            </w:r>
            <w:r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满意度评价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（九）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患者满意度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患者满意度▲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计算方法：门诊、住院患者满意度调查得分。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指标来源：国家公立医院满意度调查平台。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（十）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医务人员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满意度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医务人员满意度▲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定量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计算方法：医务人员满意度调查得分。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指标来源：国家公立医院满意度调查平台。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五、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政府指令性任务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（十一）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社会责任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.应急救援和医疗保障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定性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认真落实抢险救灾、应急救援等突发事件处置和重大活动医疗保障等任务。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指标来源：省、市、县（区）卫生健康行政部门，医院填报。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.重大违法违纪行为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定性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计算方法：本年度内发生以下情况的医疗机构给予绩效考核降级处理：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1.发生负主要责任的重大医疗事故、重大安全生产事故等造成严重社会影响；2.发生严重违法、违纪案件；3.发生重大行风案件，造成严重不良社会影响的。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数据来源：医院填报，各地市卫生健康行政部门审核。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六、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健康教育和健康促进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（十二）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健康宣教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.健康教育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定性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引导医院及其医务人员做好健康教育工作，医院落实健康教育所需的人、财、物等资源，持续提升医务人员开展健康教育的综合能力，切实指导患者及其家属、社区居民等学习掌握预防疾病和促进健康的知识和技能，促进健康素养水平和健康水平稳步提升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数据来源：医院填报，各地市卫生健康行政部门审核。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741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注</w:t>
            </w:r>
            <w:r>
              <w:rPr>
                <w:rStyle w:val="10"/>
                <w:rFonts w:hint="default" w:ascii="Times New Roman" w:hAnsi="Times New Roman" w:eastAsia="等线" w:cs="Times New Roman"/>
                <w:lang w:bidi="ar"/>
              </w:rPr>
              <w:t>: 1.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标记“▲”的为国家监测指标。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等线" w:cs="Times New Roman"/>
                <w:lang w:bidi="ar"/>
              </w:rPr>
              <w:t xml:space="preserve">   2.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二级公立医院绩效考核指标体系共3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个指标，其中国家监测指标</w:t>
            </w:r>
            <w:r>
              <w:rPr>
                <w:rStyle w:val="10"/>
                <w:rFonts w:hint="default" w:ascii="Times New Roman" w:hAnsi="Times New Roman" w:eastAsia="等线" w:cs="Times New Roman"/>
                <w:lang w:bidi="ar"/>
              </w:rPr>
              <w:t>21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个。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等线" w:cs="Times New Roman"/>
                <w:lang w:bidi="ar"/>
              </w:rPr>
              <w:t xml:space="preserve">   3.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国家卫生健康委制定绩效考核国家监测的微创手术目录、三级手术目录、重点监控药品目录和重点监控高值医用耗材目录。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D4264"/>
    <w:rsid w:val="35FD426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5">
    <w:name w:val="font91"/>
    <w:basedOn w:val="3"/>
    <w:qFormat/>
    <w:uiPriority w:val="0"/>
    <w:rPr>
      <w:rFonts w:ascii="仿宋_GB2312" w:hAnsi="Calibri" w:eastAsia="仿宋_GB2312" w:cs="仿宋_GB2312"/>
      <w:b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hAnsi="Calibri" w:eastAsia="仿宋_GB2312" w:cs="仿宋_GB2312"/>
      <w:color w:val="000000"/>
      <w:sz w:val="24"/>
      <w:szCs w:val="24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font71"/>
    <w:basedOn w:val="3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3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2020-07-31T01:05:00Z</dcterms:created>
  <dc:creator>eva</dc:creator>
  <cp:lastModifiedBy>eva</cp:lastModifiedBy>
  <dcterms:modified xsi:type="dcterms:W3CDTF">2020-07-31T01:05:58Z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