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0" w:firstLineChars="0"/>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附件3</w:t>
      </w:r>
    </w:p>
    <w:p>
      <w:pPr>
        <w:pStyle w:val="11"/>
        <w:ind w:firstLine="0" w:firstLineChars="0"/>
        <w:rPr>
          <w:rFonts w:hint="default" w:ascii="Times New Roman" w:hAnsi="Times New Roman" w:eastAsia="仿宋_GB2312" w:cs="Times New Roman"/>
          <w:snapToGrid w:val="0"/>
          <w:kern w:val="0"/>
          <w:sz w:val="32"/>
          <w:szCs w:val="32"/>
          <w:lang w:val="en-US" w:eastAsia="zh-CN"/>
        </w:rPr>
      </w:pPr>
    </w:p>
    <w:p>
      <w:pPr>
        <w:pageBreakBefore w:val="0"/>
        <w:kinsoku/>
        <w:wordWrap/>
        <w:overflowPunct/>
        <w:topLinePunct w:val="0"/>
        <w:bidi w:val="0"/>
        <w:spacing w:line="560"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健全现代医院管理制度健全现代医院</w:t>
      </w:r>
    </w:p>
    <w:p>
      <w:pPr>
        <w:pageBreakBefore w:val="0"/>
        <w:kinsoku/>
        <w:wordWrap/>
        <w:overflowPunct/>
        <w:topLinePunct w:val="0"/>
        <w:bidi w:val="0"/>
        <w:spacing w:line="560"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管理制度项目</w:t>
      </w:r>
      <w:r>
        <w:rPr>
          <w:rFonts w:hint="default" w:ascii="Times New Roman" w:hAnsi="Times New Roman" w:eastAsia="方正小标宋简体" w:cs="Times New Roman"/>
          <w:sz w:val="44"/>
          <w:szCs w:val="44"/>
        </w:rPr>
        <w:t>绩效自评报告</w:t>
      </w:r>
    </w:p>
    <w:p>
      <w:pPr>
        <w:pStyle w:val="15"/>
        <w:rPr>
          <w:rFonts w:hint="default" w:ascii="Times New Roman" w:hAnsi="Times New Roman" w:eastAsia="黑体" w:cs="Times New Roman"/>
          <w:sz w:val="48"/>
          <w:szCs w:val="48"/>
        </w:rPr>
      </w:pPr>
    </w:p>
    <w:p>
      <w:pPr>
        <w:pStyle w:val="15"/>
        <w:rPr>
          <w:rFonts w:hint="default" w:ascii="Times New Roman" w:hAnsi="Times New Roman" w:eastAsia="黑体" w:cs="Times New Roman"/>
          <w:sz w:val="48"/>
          <w:szCs w:val="48"/>
        </w:rPr>
      </w:pPr>
    </w:p>
    <w:p>
      <w:pPr>
        <w:pageBreakBefore w:val="0"/>
        <w:kinsoku/>
        <w:wordWrap/>
        <w:overflowPunct/>
        <w:topLinePunct w:val="0"/>
        <w:bidi w:val="0"/>
        <w:spacing w:line="560" w:lineRule="exact"/>
        <w:rPr>
          <w:rFonts w:hint="default" w:ascii="Times New Roman" w:hAnsi="Times New Roman" w:eastAsia="仿宋_GB2312" w:cs="Times New Roman"/>
          <w:sz w:val="32"/>
          <w:szCs w:val="32"/>
        </w:rPr>
      </w:pPr>
    </w:p>
    <w:p>
      <w:pPr>
        <w:pageBreakBefore w:val="0"/>
        <w:kinsoku/>
        <w:wordWrap/>
        <w:overflowPunct/>
        <w:topLinePunct w:val="0"/>
        <w:bidi w:val="0"/>
        <w:snapToGrid w:val="0"/>
        <w:spacing w:line="560" w:lineRule="exact"/>
        <w:jc w:val="both"/>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专项资金</w:t>
      </w:r>
      <w:r>
        <w:rPr>
          <w:rFonts w:hint="default" w:ascii="Times New Roman" w:hAnsi="Times New Roman" w:eastAsia="黑体" w:cs="Times New Roman"/>
          <w:b/>
          <w:bCs/>
          <w:sz w:val="36"/>
          <w:szCs w:val="36"/>
          <w:lang w:eastAsia="zh-CN"/>
        </w:rPr>
        <w:t>“财政事权”</w:t>
      </w:r>
      <w:r>
        <w:rPr>
          <w:rFonts w:hint="default" w:ascii="Times New Roman" w:hAnsi="Times New Roman" w:eastAsia="黑体" w:cs="Times New Roman"/>
          <w:b/>
          <w:bCs/>
          <w:sz w:val="36"/>
          <w:szCs w:val="36"/>
        </w:rPr>
        <w:t>名称：</w:t>
      </w:r>
      <w:r>
        <w:rPr>
          <w:rFonts w:hint="default" w:ascii="Times New Roman" w:hAnsi="Times New Roman" w:eastAsia="黑体" w:cs="Times New Roman"/>
          <w:b w:val="0"/>
          <w:bCs w:val="0"/>
          <w:sz w:val="36"/>
          <w:szCs w:val="36"/>
        </w:rPr>
        <w:t>健全现代医院管理制度</w:t>
      </w:r>
    </w:p>
    <w:p>
      <w:pPr>
        <w:pageBreakBefore w:val="0"/>
        <w:kinsoku/>
        <w:wordWrap/>
        <w:overflowPunct/>
        <w:topLinePunct w:val="0"/>
        <w:bidi w:val="0"/>
        <w:snapToGrid w:val="0"/>
        <w:spacing w:line="560" w:lineRule="exact"/>
        <w:rPr>
          <w:rFonts w:hint="default" w:ascii="Times New Roman" w:hAnsi="Times New Roman" w:eastAsia="黑体" w:cs="Times New Roman"/>
          <w:b w:val="0"/>
          <w:bCs w:val="0"/>
          <w:sz w:val="36"/>
          <w:szCs w:val="36"/>
          <w:lang w:val="en-US" w:eastAsia="zh-CN"/>
        </w:rPr>
      </w:pPr>
      <w:r>
        <w:rPr>
          <w:rFonts w:hint="default" w:ascii="Times New Roman" w:hAnsi="Times New Roman" w:eastAsia="黑体" w:cs="Times New Roman"/>
          <w:b/>
          <w:bCs/>
          <w:sz w:val="36"/>
          <w:szCs w:val="36"/>
          <w:lang w:val="en-US" w:eastAsia="zh-CN"/>
        </w:rPr>
        <w:t xml:space="preserve">对 应 “政策任务” 数 量：    </w:t>
      </w:r>
      <w:r>
        <w:rPr>
          <w:rFonts w:hint="default" w:ascii="Times New Roman" w:hAnsi="Times New Roman" w:eastAsia="黑体" w:cs="Times New Roman"/>
          <w:b w:val="0"/>
          <w:bCs w:val="0"/>
          <w:sz w:val="36"/>
          <w:szCs w:val="36"/>
          <w:lang w:val="en-US" w:eastAsia="zh-CN"/>
        </w:rPr>
        <w:t>4个</w:t>
      </w:r>
    </w:p>
    <w:p>
      <w:pPr>
        <w:pageBreakBefore w:val="0"/>
        <w:kinsoku/>
        <w:wordWrap/>
        <w:overflowPunct/>
        <w:topLinePunct w:val="0"/>
        <w:bidi w:val="0"/>
        <w:snapToGrid w:val="0"/>
        <w:spacing w:line="560" w:lineRule="exact"/>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省</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级</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预</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算</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部</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门：</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val="0"/>
          <w:bCs w:val="0"/>
          <w:sz w:val="36"/>
          <w:szCs w:val="36"/>
        </w:rPr>
        <w:t>（公章）</w:t>
      </w:r>
    </w:p>
    <w:p>
      <w:pPr>
        <w:pageBreakBefore w:val="0"/>
        <w:kinsoku/>
        <w:wordWrap/>
        <w:overflowPunct/>
        <w:topLinePunct w:val="0"/>
        <w:bidi w:val="0"/>
        <w:snapToGrid w:val="0"/>
        <w:spacing w:line="560" w:lineRule="exact"/>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填</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报</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人</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姓</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名：</w:t>
      </w:r>
    </w:p>
    <w:p>
      <w:pPr>
        <w:pageBreakBefore w:val="0"/>
        <w:kinsoku/>
        <w:wordWrap/>
        <w:overflowPunct/>
        <w:topLinePunct w:val="0"/>
        <w:bidi w:val="0"/>
        <w:snapToGrid w:val="0"/>
        <w:spacing w:line="560" w:lineRule="exact"/>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联</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系</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电</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话：</w:t>
      </w:r>
    </w:p>
    <w:p>
      <w:pPr>
        <w:pageBreakBefore w:val="0"/>
        <w:kinsoku/>
        <w:wordWrap/>
        <w:overflowPunct/>
        <w:topLinePunct w:val="0"/>
        <w:bidi w:val="0"/>
        <w:snapToGrid w:val="0"/>
        <w:spacing w:line="560" w:lineRule="exact"/>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填</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报</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日</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期：</w:t>
      </w:r>
    </w:p>
    <w:p>
      <w:pPr>
        <w:pageBreakBefore w:val="0"/>
        <w:kinsoku/>
        <w:wordWrap/>
        <w:overflowPunct/>
        <w:topLinePunct w:val="0"/>
        <w:bidi w:val="0"/>
        <w:snapToGrid w:val="0"/>
        <w:spacing w:line="560" w:lineRule="exact"/>
        <w:ind w:firstLine="0" w:firstLineChars="0"/>
        <w:rPr>
          <w:rFonts w:hint="default" w:ascii="Times New Roman" w:hAnsi="Times New Roman" w:eastAsia="仿宋_GB2312" w:cs="Times New Roman"/>
          <w:sz w:val="32"/>
          <w:szCs w:val="32"/>
        </w:rPr>
      </w:pPr>
    </w:p>
    <w:p>
      <w:pPr>
        <w:pStyle w:val="15"/>
        <w:rPr>
          <w:rFonts w:hint="default" w:ascii="Times New Roman" w:hAnsi="Times New Roman" w:eastAsia="仿宋_GB2312" w:cs="Times New Roman"/>
          <w:sz w:val="32"/>
          <w:szCs w:val="32"/>
        </w:rPr>
      </w:pPr>
    </w:p>
    <w:p>
      <w:pPr>
        <w:pStyle w:val="15"/>
        <w:rPr>
          <w:rFonts w:hint="default" w:ascii="Times New Roman" w:hAnsi="Times New Roman" w:eastAsia="仿宋_GB2312" w:cs="Times New Roman"/>
          <w:sz w:val="32"/>
          <w:szCs w:val="32"/>
        </w:rPr>
      </w:pPr>
    </w:p>
    <w:p>
      <w:pPr>
        <w:pageBreakBefore w:val="0"/>
        <w:kinsoku/>
        <w:wordWrap/>
        <w:overflowPunct/>
        <w:topLinePunct w:val="0"/>
        <w:bidi w:val="0"/>
        <w:snapToGrid w:val="0"/>
        <w:spacing w:line="560" w:lineRule="exact"/>
        <w:rPr>
          <w:rFonts w:hint="default" w:ascii="Times New Roman" w:hAnsi="Times New Roman" w:eastAsia="仿宋_GB2312" w:cs="Times New Roman"/>
          <w:b/>
          <w:bCs/>
          <w:sz w:val="32"/>
          <w:szCs w:val="32"/>
        </w:rPr>
        <w:sectPr>
          <w:pgSz w:w="11906" w:h="16838"/>
          <w:pgMar w:top="2041" w:right="1531" w:bottom="2041" w:left="1531" w:header="851" w:footer="1332" w:gutter="0"/>
          <w:pgBorders>
            <w:top w:val="none" w:sz="0" w:space="0"/>
            <w:left w:val="none" w:sz="0" w:space="0"/>
            <w:bottom w:val="none" w:sz="0" w:space="0"/>
            <w:right w:val="none" w:sz="0" w:space="0"/>
          </w:pgBorders>
          <w:pgNumType w:fmt="numberInDash"/>
          <w:cols w:space="720" w:num="1"/>
          <w:rtlGutter w:val="0"/>
          <w:docGrid w:type="linesAndChars" w:linePitch="579" w:charSpace="-849"/>
        </w:sectPr>
      </w:pPr>
    </w:p>
    <w:p>
      <w:pPr>
        <w:spacing w:before="0" w:beforeLines="0" w:after="0" w:afterLines="0" w:line="240" w:lineRule="auto"/>
        <w:ind w:left="0" w:leftChars="0" w:right="0" w:rightChars="0" w:firstLine="0" w:firstLineChars="0"/>
        <w:jc w:val="center"/>
        <w:rPr>
          <w:rFonts w:hint="default" w:ascii="Times New Roman" w:hAnsi="Times New Roman" w:cs="Times New Roman"/>
          <w:b/>
          <w:bCs/>
          <w:sz w:val="28"/>
          <w:szCs w:val="28"/>
        </w:rPr>
      </w:pPr>
      <w:r>
        <w:rPr>
          <w:rFonts w:hint="default" w:ascii="Times New Roman" w:hAnsi="Times New Roman" w:eastAsia="宋体" w:cs="Times New Roman"/>
          <w:b/>
          <w:bCs/>
          <w:sz w:val="28"/>
          <w:szCs w:val="28"/>
        </w:rPr>
        <w:t>目</w:t>
      </w:r>
      <w:r>
        <w:rPr>
          <w:rFonts w:hint="default" w:ascii="Times New Roman" w:hAnsi="Times New Roman" w:eastAsia="宋体" w:cs="Times New Roman"/>
          <w:b/>
          <w:bCs/>
          <w:sz w:val="28"/>
          <w:szCs w:val="28"/>
          <w:lang w:val="en-US" w:eastAsia="zh-CN"/>
        </w:rPr>
        <w:t xml:space="preserve">   </w:t>
      </w:r>
      <w:r>
        <w:rPr>
          <w:rFonts w:hint="default" w:ascii="Times New Roman" w:hAnsi="Times New Roman" w:eastAsia="宋体" w:cs="Times New Roman"/>
          <w:b/>
          <w:bCs/>
          <w:sz w:val="28"/>
          <w:szCs w:val="28"/>
        </w:rPr>
        <w:t>录</w:t>
      </w:r>
    </w:p>
    <w:p>
      <w:pPr>
        <w:pStyle w:val="9"/>
        <w:tabs>
          <w:tab w:val="right" w:leader="dot" w:pos="8306"/>
        </w:tabs>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TOC \o "1-3" \h \u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_Toc176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一、基本情况</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_Toc176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1</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10"/>
        <w:tabs>
          <w:tab w:val="right" w:leader="dot" w:pos="8306"/>
        </w:tabs>
        <w:ind w:left="0" w:leftChars="0" w:firstLine="0" w:firstLineChars="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_Toc29977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lang w:val="en-US" w:eastAsia="zh-CN"/>
        </w:rPr>
        <w:t>（一）资金情况</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_Toc29977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1</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10"/>
        <w:tabs>
          <w:tab w:val="right" w:leader="dot" w:pos="8306"/>
        </w:tabs>
        <w:ind w:left="0" w:leftChars="0" w:firstLine="0" w:firstLineChars="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_Toc18527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lang w:eastAsia="zh-CN"/>
        </w:rPr>
        <w:t>（</w:t>
      </w:r>
      <w:r>
        <w:rPr>
          <w:rFonts w:hint="default" w:ascii="Times New Roman" w:hAnsi="Times New Roman" w:eastAsia="宋体" w:cs="Times New Roman"/>
          <w:b w:val="0"/>
          <w:bCs w:val="0"/>
          <w:sz w:val="28"/>
          <w:szCs w:val="28"/>
          <w:lang w:val="en-US" w:eastAsia="zh-CN"/>
        </w:rPr>
        <w:t>二</w:t>
      </w:r>
      <w:r>
        <w:rPr>
          <w:rFonts w:hint="default" w:ascii="Times New Roman" w:hAnsi="Times New Roman" w:eastAsia="宋体" w:cs="Times New Roman"/>
          <w:b w:val="0"/>
          <w:bCs w:val="0"/>
          <w:sz w:val="28"/>
          <w:szCs w:val="28"/>
          <w:lang w:eastAsia="zh-CN"/>
        </w:rPr>
        <w:t>）</w:t>
      </w:r>
      <w:r>
        <w:rPr>
          <w:rFonts w:hint="default" w:ascii="Times New Roman" w:hAnsi="Times New Roman" w:eastAsia="宋体" w:cs="Times New Roman"/>
          <w:b w:val="0"/>
          <w:bCs w:val="0"/>
          <w:sz w:val="28"/>
          <w:szCs w:val="28"/>
        </w:rPr>
        <w:t>绩效目标</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_Toc18527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2</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9"/>
        <w:tabs>
          <w:tab w:val="right" w:leader="dot" w:pos="8306"/>
        </w:tabs>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_Toc17932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二、自评情况</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_Toc17932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4</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10"/>
        <w:tabs>
          <w:tab w:val="right" w:leader="dot" w:pos="8306"/>
        </w:tabs>
        <w:ind w:left="0" w:leftChars="0" w:firstLine="0" w:firstLineChars="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_Toc8216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（一）自评分数</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_Toc8216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4</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10"/>
        <w:tabs>
          <w:tab w:val="right" w:leader="dot" w:pos="8306"/>
        </w:tabs>
        <w:ind w:left="0" w:leftChars="0" w:firstLine="0" w:firstLineChars="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_Toc2236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（二）专项资金使用绩效</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_Toc2236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5</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10"/>
        <w:tabs>
          <w:tab w:val="right" w:leader="dot" w:pos="8306"/>
        </w:tabs>
        <w:ind w:left="0" w:leftChars="0" w:firstLine="0" w:firstLineChars="0"/>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_Toc11733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（三）专项资金使用绩效存在的问题</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_Toc11733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14</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9"/>
        <w:tabs>
          <w:tab w:val="right" w:leader="dot" w:pos="8306"/>
        </w:tabs>
        <w:rPr>
          <w:rFonts w:hint="default" w:ascii="Times New Roman" w:hAnsi="Times New Roman" w:eastAsia="宋体" w:cs="Times New Roman"/>
          <w:b w:val="0"/>
          <w:bCs w:val="0"/>
          <w:sz w:val="28"/>
          <w:szCs w:val="28"/>
        </w:rPr>
      </w:pP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HYPERLINK \l _Toc5790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三、改进意见</w:t>
      </w:r>
      <w:r>
        <w:rPr>
          <w:rFonts w:hint="default" w:ascii="Times New Roman" w:hAnsi="Times New Roman" w:eastAsia="宋体" w:cs="Times New Roman"/>
          <w:b w:val="0"/>
          <w:bCs w:val="0"/>
          <w:sz w:val="28"/>
          <w:szCs w:val="28"/>
        </w:rPr>
        <w:tab/>
      </w:r>
      <w:r>
        <w:rPr>
          <w:rFonts w:hint="default" w:ascii="Times New Roman" w:hAnsi="Times New Roman" w:eastAsia="宋体" w:cs="Times New Roman"/>
          <w:b w:val="0"/>
          <w:bCs w:val="0"/>
          <w:sz w:val="28"/>
          <w:szCs w:val="28"/>
        </w:rPr>
        <w:fldChar w:fldCharType="begin"/>
      </w:r>
      <w:r>
        <w:rPr>
          <w:rFonts w:hint="default" w:ascii="Times New Roman" w:hAnsi="Times New Roman" w:eastAsia="宋体" w:cs="Times New Roman"/>
          <w:b w:val="0"/>
          <w:bCs w:val="0"/>
          <w:sz w:val="28"/>
          <w:szCs w:val="28"/>
        </w:rPr>
        <w:instrText xml:space="preserve"> PAGEREF _Toc5790 </w:instrText>
      </w:r>
      <w:r>
        <w:rPr>
          <w:rFonts w:hint="default" w:ascii="Times New Roman" w:hAnsi="Times New Roman" w:eastAsia="宋体" w:cs="Times New Roman"/>
          <w:b w:val="0"/>
          <w:bCs w:val="0"/>
          <w:sz w:val="28"/>
          <w:szCs w:val="28"/>
        </w:rPr>
        <w:fldChar w:fldCharType="separate"/>
      </w:r>
      <w:r>
        <w:rPr>
          <w:rFonts w:hint="default" w:ascii="Times New Roman" w:hAnsi="Times New Roman" w:eastAsia="宋体" w:cs="Times New Roman"/>
          <w:b w:val="0"/>
          <w:bCs w:val="0"/>
          <w:sz w:val="28"/>
          <w:szCs w:val="28"/>
        </w:rPr>
        <w:t>15</w:t>
      </w:r>
      <w:r>
        <w:rPr>
          <w:rFonts w:hint="default" w:ascii="Times New Roman" w:hAnsi="Times New Roman" w:eastAsia="宋体" w:cs="Times New Roman"/>
          <w:b w:val="0"/>
          <w:bCs w:val="0"/>
          <w:sz w:val="28"/>
          <w:szCs w:val="28"/>
        </w:rPr>
        <w:fldChar w:fldCharType="end"/>
      </w:r>
      <w:r>
        <w:rPr>
          <w:rFonts w:hint="default" w:ascii="Times New Roman" w:hAnsi="Times New Roman" w:eastAsia="宋体" w:cs="Times New Roman"/>
          <w:b w:val="0"/>
          <w:bCs w:val="0"/>
          <w:sz w:val="28"/>
          <w:szCs w:val="28"/>
        </w:rPr>
        <w:fldChar w:fldCharType="end"/>
      </w:r>
    </w:p>
    <w:p>
      <w:pPr>
        <w:pStyle w:val="9"/>
        <w:tabs>
          <w:tab w:val="right" w:leader="dot" w:pos="8306"/>
        </w:tabs>
        <w:rPr>
          <w:rFonts w:hint="default" w:ascii="Times New Roman" w:hAnsi="Times New Roman" w:eastAsia="宋体" w:cs="Times New Roman"/>
          <w:b w:val="0"/>
          <w:bCs w:val="0"/>
          <w:sz w:val="28"/>
          <w:szCs w:val="28"/>
        </w:rPr>
      </w:pPr>
    </w:p>
    <w:p>
      <w:pPr>
        <w:pageBreakBefore w:val="0"/>
        <w:kinsoku/>
        <w:wordWrap/>
        <w:overflowPunct/>
        <w:topLinePunct w:val="0"/>
        <w:bidi w:val="0"/>
        <w:snapToGrid w:val="0"/>
        <w:spacing w:line="560" w:lineRule="exact"/>
        <w:ind w:firstLine="560" w:firstLineChars="200"/>
        <w:rPr>
          <w:rFonts w:hint="default" w:ascii="Times New Roman" w:hAnsi="Times New Roman" w:eastAsia="仿宋_GB2312" w:cs="Times New Roman"/>
          <w:b/>
          <w:bCs/>
          <w:sz w:val="32"/>
          <w:szCs w:val="32"/>
        </w:rPr>
      </w:pPr>
      <w:r>
        <w:rPr>
          <w:rFonts w:hint="default" w:ascii="Times New Roman" w:hAnsi="Times New Roman" w:eastAsia="宋体" w:cs="Times New Roman"/>
          <w:b w:val="0"/>
          <w:bCs w:val="0"/>
          <w:sz w:val="28"/>
          <w:szCs w:val="28"/>
        </w:rPr>
        <w:fldChar w:fldCharType="end"/>
      </w:r>
    </w:p>
    <w:p>
      <w:pPr>
        <w:pStyle w:val="15"/>
        <w:rPr>
          <w:rFonts w:hint="default" w:ascii="Times New Roman" w:hAnsi="Times New Roman" w:eastAsia="仿宋_GB2312" w:cs="Times New Roman"/>
          <w:b/>
          <w:bCs/>
          <w:sz w:val="32"/>
          <w:szCs w:val="32"/>
        </w:rPr>
      </w:pPr>
    </w:p>
    <w:p>
      <w:pPr>
        <w:pStyle w:val="15"/>
        <w:rPr>
          <w:rFonts w:hint="default" w:ascii="Times New Roman" w:hAnsi="Times New Roman" w:eastAsia="仿宋_GB2312" w:cs="Times New Roman"/>
          <w:b/>
          <w:bCs/>
          <w:sz w:val="32"/>
          <w:szCs w:val="32"/>
        </w:rPr>
      </w:pPr>
    </w:p>
    <w:p>
      <w:pPr>
        <w:pStyle w:val="15"/>
        <w:rPr>
          <w:rFonts w:hint="default" w:ascii="Times New Roman" w:hAnsi="Times New Roman" w:eastAsia="仿宋_GB2312" w:cs="Times New Roman"/>
          <w:b/>
          <w:bCs/>
          <w:sz w:val="32"/>
          <w:szCs w:val="32"/>
        </w:rPr>
      </w:pPr>
    </w:p>
    <w:p>
      <w:pPr>
        <w:pStyle w:val="15"/>
        <w:ind w:left="0" w:leftChars="0" w:firstLine="0" w:firstLineChars="0"/>
        <w:rPr>
          <w:rFonts w:hint="default" w:ascii="Times New Roman" w:hAnsi="Times New Roman" w:eastAsia="仿宋_GB2312" w:cs="Times New Roman"/>
          <w:b/>
          <w:bCs/>
          <w:sz w:val="32"/>
          <w:szCs w:val="32"/>
        </w:rPr>
      </w:pPr>
    </w:p>
    <w:p>
      <w:pPr>
        <w:pageBreakBefore w:val="0"/>
        <w:kinsoku/>
        <w:wordWrap/>
        <w:overflowPunct/>
        <w:topLinePunct w:val="0"/>
        <w:bidi w:val="0"/>
        <w:snapToGrid w:val="0"/>
        <w:spacing w:line="560" w:lineRule="exact"/>
        <w:ind w:firstLine="643" w:firstLineChars="200"/>
        <w:rPr>
          <w:rFonts w:hint="default" w:ascii="Times New Roman" w:hAnsi="Times New Roman" w:eastAsia="仿宋_GB2312" w:cs="Times New Roman"/>
          <w:b/>
          <w:bCs/>
          <w:sz w:val="32"/>
          <w:szCs w:val="32"/>
        </w:rPr>
        <w:sectPr>
          <w:footerReference r:id="rId3" w:type="default"/>
          <w:pgSz w:w="11906" w:h="16838"/>
          <w:pgMar w:top="2041" w:right="1531" w:bottom="2041" w:left="1531" w:header="851" w:footer="1276"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3"/>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黑体" w:cs="Times New Roman"/>
          <w:b w:val="0"/>
          <w:bCs/>
          <w:sz w:val="32"/>
          <w:szCs w:val="32"/>
        </w:rPr>
      </w:pPr>
      <w:bookmarkStart w:id="0" w:name="_Toc176"/>
      <w:r>
        <w:rPr>
          <w:rFonts w:hint="default" w:ascii="Times New Roman" w:hAnsi="Times New Roman" w:eastAsia="黑体" w:cs="Times New Roman"/>
          <w:b w:val="0"/>
          <w:bCs/>
          <w:sz w:val="32"/>
          <w:szCs w:val="32"/>
        </w:rPr>
        <w:t>一、基本情况</w:t>
      </w:r>
      <w:bookmarkEnd w:id="0"/>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b w:val="0"/>
          <w:bCs/>
          <w:sz w:val="32"/>
          <w:szCs w:val="32"/>
          <w:lang w:val="en-US" w:eastAsia="zh-CN"/>
        </w:rPr>
      </w:pPr>
      <w:bookmarkStart w:id="1" w:name="_Toc29977"/>
      <w:bookmarkStart w:id="2" w:name="_Toc27874"/>
      <w:r>
        <w:rPr>
          <w:rFonts w:hint="default" w:ascii="Times New Roman" w:hAnsi="Times New Roman" w:eastAsia="楷体_GB2312" w:cs="Times New Roman"/>
          <w:b w:val="0"/>
          <w:bCs/>
          <w:sz w:val="32"/>
          <w:szCs w:val="32"/>
          <w:lang w:val="en-US" w:eastAsia="zh-CN"/>
        </w:rPr>
        <w:t>（一）资金情况</w:t>
      </w:r>
      <w:bookmarkEnd w:id="1"/>
      <w:bookmarkEnd w:id="2"/>
      <w:r>
        <w:rPr>
          <w:rFonts w:hint="default" w:ascii="Times New Roman" w:hAnsi="Times New Roman" w:eastAsia="楷体_GB2312" w:cs="Times New Roman"/>
          <w:b w:val="0"/>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广东省财政厅通过《关于安排第三批高水平医院重点建设医院补助资金的通知》（粤财社〔2019〕94号）《广东省财政厅关于安排省部属高水平医院重点建设医院补助资金的通知》（粤财社〔2019〕215号）《广东省财政厅关于安排广州呼吸中心项目省级补助资金的通知》（粤财社〔2019〕297号）《关于安排广州呼吸中心项目建设省级补助资金的通知》（粤财社〔2019〕89号）《关于安排2019年省级医疗卫生健康事业发展专项资金（第一批）的通知》（粤财社〔2019〕42号）等，安排</w:t>
      </w:r>
      <w:r>
        <w:rPr>
          <w:rFonts w:hint="default" w:ascii="Times New Roman" w:hAnsi="Times New Roman" w:eastAsia="仿宋_GB2312" w:cs="Times New Roman"/>
          <w:b w:val="0"/>
          <w:bCs w:val="0"/>
          <w:sz w:val="32"/>
          <w:szCs w:val="32"/>
        </w:rPr>
        <w:t>健全现代医院管理制度</w:t>
      </w:r>
      <w:r>
        <w:rPr>
          <w:rFonts w:hint="default" w:ascii="Times New Roman" w:hAnsi="Times New Roman" w:eastAsia="仿宋_GB2312" w:cs="Times New Roman"/>
          <w:sz w:val="32"/>
          <w:szCs w:val="32"/>
          <w:lang w:val="en-US" w:eastAsia="zh-CN"/>
        </w:rPr>
        <w:t>项目预算资金</w:t>
      </w:r>
      <w:r>
        <w:rPr>
          <w:rFonts w:hint="default" w:ascii="Times New Roman" w:hAnsi="Times New Roman" w:eastAsia="仿宋_GB2312" w:cs="Times New Roman"/>
          <w:b w:val="0"/>
          <w:bCs/>
          <w:i w:val="0"/>
          <w:color w:val="auto"/>
          <w:kern w:val="0"/>
          <w:sz w:val="32"/>
          <w:szCs w:val="32"/>
          <w:u w:val="none"/>
          <w:lang w:val="en-US" w:eastAsia="zh-CN" w:bidi="ar"/>
        </w:rPr>
        <w:t>509774.50万元。财政事权涉及的</w:t>
      </w:r>
      <w:r>
        <w:rPr>
          <w:rFonts w:hint="default" w:ascii="Times New Roman" w:hAnsi="Times New Roman" w:eastAsia="仿宋_GB2312" w:cs="Times New Roman"/>
          <w:sz w:val="32"/>
          <w:szCs w:val="32"/>
          <w:lang w:val="en-US" w:eastAsia="zh-CN"/>
        </w:rPr>
        <w:t>政策任务</w:t>
      </w:r>
      <w:r>
        <w:rPr>
          <w:rFonts w:hint="default" w:ascii="Times New Roman" w:hAnsi="Times New Roman" w:eastAsia="仿宋_GB2312" w:cs="Times New Roman"/>
          <w:b w:val="0"/>
          <w:bCs/>
          <w:i w:val="0"/>
          <w:color w:val="auto"/>
          <w:kern w:val="0"/>
          <w:sz w:val="32"/>
          <w:szCs w:val="32"/>
          <w:u w:val="none"/>
          <w:lang w:val="en-US" w:eastAsia="zh-CN" w:bidi="ar"/>
        </w:rPr>
        <w:t>4个</w:t>
      </w:r>
      <w:r>
        <w:rPr>
          <w:rFonts w:hint="default" w:ascii="Times New Roman" w:hAnsi="Times New Roman" w:eastAsia="仿宋_GB2312" w:cs="Times New Roman"/>
          <w:sz w:val="32"/>
          <w:szCs w:val="32"/>
          <w:lang w:val="en-US" w:eastAsia="zh-CN"/>
        </w:rPr>
        <w:t>，具体如下：</w:t>
      </w:r>
    </w:p>
    <w:p>
      <w:pPr>
        <w:keepNext w:val="0"/>
        <w:keepLines w:val="0"/>
        <w:pageBreakBefore w:val="0"/>
        <w:widowControl w:val="0"/>
        <w:numPr>
          <w:ilvl w:val="0"/>
          <w:numId w:val="0"/>
        </w:numPr>
        <w:kinsoku/>
        <w:wordWrap/>
        <w:overflowPunct/>
        <w:topLinePunct w:val="0"/>
        <w:bidi w:val="0"/>
        <w:spacing w:line="560" w:lineRule="exact"/>
        <w:ind w:firstLine="0" w:firstLineChars="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i w:val="0"/>
          <w:color w:val="auto"/>
          <w:kern w:val="0"/>
          <w:sz w:val="32"/>
          <w:szCs w:val="32"/>
          <w:u w:val="none"/>
          <w:lang w:val="en-US" w:eastAsia="zh-CN" w:bidi="ar"/>
        </w:rPr>
        <w:t>高水平医院建设项目，安排项目预算资金420000.00</w:t>
      </w:r>
      <w:r>
        <w:rPr>
          <w:rFonts w:hint="default" w:ascii="Times New Roman" w:hAnsi="Times New Roman" w:eastAsia="仿宋_GB2312" w:cs="Times New Roman"/>
          <w:b w:val="0"/>
          <w:bCs/>
          <w:i w:val="0"/>
          <w:color w:val="auto"/>
          <w:kern w:val="0"/>
          <w:sz w:val="32"/>
          <w:szCs w:val="32"/>
          <w:highlight w:val="none"/>
          <w:u w:val="none"/>
          <w:lang w:val="en-US" w:eastAsia="zh-CN" w:bidi="ar"/>
        </w:rPr>
        <w:t>万元，项目资金</w:t>
      </w:r>
      <w:r>
        <w:rPr>
          <w:rFonts w:hint="default" w:ascii="Times New Roman" w:hAnsi="Times New Roman" w:eastAsia="仿宋_GB2312" w:cs="Times New Roman"/>
          <w:i w:val="0"/>
          <w:color w:val="auto"/>
          <w:kern w:val="0"/>
          <w:sz w:val="32"/>
          <w:szCs w:val="32"/>
          <w:u w:val="none"/>
          <w:lang w:val="en-US" w:eastAsia="zh-CN" w:bidi="ar"/>
        </w:rPr>
        <w:t>采用项目法分配法，主要</w:t>
      </w:r>
      <w:r>
        <w:rPr>
          <w:rFonts w:hint="default" w:ascii="Times New Roman" w:hAnsi="Times New Roman" w:eastAsia="仿宋_GB2312" w:cs="Times New Roman"/>
          <w:color w:val="000000"/>
          <w:kern w:val="0"/>
          <w:sz w:val="32"/>
          <w:szCs w:val="32"/>
          <w:lang w:val="en-US" w:eastAsia="zh-CN" w:bidi="ar"/>
        </w:rPr>
        <w:t>用于重点建设医院高端领军医学人才（如院士）和科研创 新团队引进与培养、重点领域医疗技术研究与成果应用、先进大型医疗科研设备装备购置等。建设对象是</w:t>
      </w:r>
      <w:r>
        <w:rPr>
          <w:rFonts w:hint="default" w:ascii="Times New Roman" w:hAnsi="Times New Roman" w:eastAsia="仿宋_GB2312" w:cs="Times New Roman"/>
          <w:color w:val="000000"/>
          <w:sz w:val="32"/>
          <w:szCs w:val="32"/>
        </w:rPr>
        <w:t>中山大学附属第一医院</w:t>
      </w:r>
      <w:r>
        <w:rPr>
          <w:rFonts w:hint="default" w:ascii="Times New Roman" w:hAnsi="Times New Roman" w:eastAsia="仿宋_GB2312" w:cs="Times New Roman"/>
          <w:color w:val="000000"/>
          <w:sz w:val="32"/>
          <w:szCs w:val="32"/>
          <w:lang w:eastAsia="zh-CN"/>
        </w:rPr>
        <w:t>、广东省人民医院、南方医科大学南方医院</w:t>
      </w:r>
      <w:r>
        <w:rPr>
          <w:rFonts w:hint="default" w:ascii="Times New Roman" w:hAnsi="Times New Roman" w:eastAsia="仿宋_GB2312" w:cs="Times New Roman"/>
          <w:color w:val="000000"/>
          <w:sz w:val="32"/>
          <w:szCs w:val="32"/>
        </w:rPr>
        <w:t>等</w:t>
      </w:r>
      <w:r>
        <w:rPr>
          <w:rFonts w:hint="default" w:ascii="Times New Roman" w:hAnsi="Times New Roman" w:eastAsia="仿宋_GB2312" w:cs="Times New Roman"/>
          <w:color w:val="000000"/>
          <w:sz w:val="32"/>
          <w:szCs w:val="32"/>
          <w:lang w:val="en-US" w:eastAsia="zh-CN"/>
        </w:rPr>
        <w:t>30</w:t>
      </w:r>
      <w:r>
        <w:rPr>
          <w:rFonts w:hint="default" w:ascii="Times New Roman" w:hAnsi="Times New Roman" w:eastAsia="仿宋_GB2312" w:cs="Times New Roman"/>
          <w:color w:val="000000"/>
          <w:sz w:val="32"/>
          <w:szCs w:val="32"/>
        </w:rPr>
        <w:t>家医院作为首批高水平建设医院对象。</w:t>
      </w:r>
    </w:p>
    <w:p>
      <w:pPr>
        <w:keepNext w:val="0"/>
        <w:keepLines w:val="0"/>
        <w:pageBreakBefore w:val="0"/>
        <w:widowControl w:val="0"/>
        <w:numPr>
          <w:ilvl w:val="0"/>
          <w:numId w:val="0"/>
        </w:numPr>
        <w:kinsoku/>
        <w:wordWrap/>
        <w:overflowPunct/>
        <w:topLinePunct w:val="0"/>
        <w:bidi w:val="0"/>
        <w:spacing w:line="560" w:lineRule="exact"/>
        <w:ind w:firstLine="643"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i w:val="0"/>
          <w:color w:val="auto"/>
          <w:kern w:val="0"/>
          <w:sz w:val="32"/>
          <w:szCs w:val="32"/>
          <w:u w:val="none"/>
          <w:lang w:val="en-US" w:eastAsia="zh-CN" w:bidi="ar"/>
        </w:rPr>
        <w:t>公立医院取消药品加成财政补偿项目，安排项目预算资金39774.50万元，</w:t>
      </w:r>
      <w:r>
        <w:rPr>
          <w:rFonts w:hint="default" w:ascii="Times New Roman" w:hAnsi="Times New Roman" w:eastAsia="仿宋_GB2312" w:cs="Times New Roman"/>
          <w:b w:val="0"/>
          <w:bCs/>
          <w:i w:val="0"/>
          <w:color w:val="auto"/>
          <w:kern w:val="0"/>
          <w:sz w:val="32"/>
          <w:szCs w:val="32"/>
          <w:highlight w:val="none"/>
          <w:u w:val="none"/>
          <w:lang w:val="en-US" w:eastAsia="zh-CN" w:bidi="ar"/>
        </w:rPr>
        <w:t>项目资金</w:t>
      </w:r>
      <w:r>
        <w:rPr>
          <w:rFonts w:hint="default" w:ascii="Times New Roman" w:hAnsi="Times New Roman" w:eastAsia="仿宋_GB2312" w:cs="Times New Roman"/>
          <w:i w:val="0"/>
          <w:color w:val="auto"/>
          <w:kern w:val="0"/>
          <w:sz w:val="32"/>
          <w:szCs w:val="32"/>
          <w:u w:val="none"/>
          <w:lang w:val="en-US" w:eastAsia="zh-CN" w:bidi="ar"/>
        </w:rPr>
        <w:t>采用项目法分配资金，即公立医院因取消药品加成而减少的合理收入，按照该类医院2014、2015、2016三年药品加成收入的平均数计算确定，省级财政按相关公立医院药品减收总额10%的比例核定和下达省级财政补偿资金，对省属医院和部属、军队、武警驻粤公立医院予以差异化补偿。粤东西北地区（含惠州市、肇庆市及江门市部分地区）的省财政补偿资金，根据省级卫生健康部门核定的相关公立医院药品减收的10% ，分别下达至相关地级市和省财政直管县，由各地安排到相关公立医院。</w:t>
      </w:r>
      <w:r>
        <w:rPr>
          <w:rFonts w:hint="default" w:ascii="Times New Roman" w:hAnsi="Times New Roman" w:eastAsia="仿宋_GB2312" w:cs="Times New Roman"/>
          <w:b w:val="0"/>
          <w:bCs w:val="0"/>
          <w:sz w:val="32"/>
          <w:szCs w:val="32"/>
          <w:lang w:eastAsia="zh-CN"/>
        </w:rPr>
        <w:t>主要用于公立医院综合改革补助，具体</w:t>
      </w:r>
      <w:r>
        <w:rPr>
          <w:rFonts w:hint="default" w:ascii="Times New Roman" w:hAnsi="Times New Roman" w:eastAsia="仿宋_GB2312" w:cs="Times New Roman"/>
          <w:b w:val="0"/>
          <w:bCs w:val="0"/>
          <w:sz w:val="32"/>
          <w:szCs w:val="32"/>
        </w:rPr>
        <w:t>用于对部属、军队、武警驻粤公立医院，省属公立医院及14个经济欠发达地区和江门的台山、开平、恩平市公立医院取消药品（中药饮片除外）加成后减少的合理收入给予补偿，</w:t>
      </w:r>
      <w:r>
        <w:rPr>
          <w:rFonts w:hint="default" w:ascii="Times New Roman" w:hAnsi="Times New Roman" w:eastAsia="仿宋_GB2312" w:cs="Times New Roman"/>
          <w:b w:val="0"/>
          <w:bCs w:val="0"/>
          <w:sz w:val="32"/>
          <w:szCs w:val="32"/>
          <w:lang w:eastAsia="zh-CN"/>
        </w:rPr>
        <w:t>保障</w:t>
      </w:r>
      <w:r>
        <w:rPr>
          <w:rFonts w:hint="default" w:ascii="Times New Roman" w:hAnsi="Times New Roman" w:eastAsia="仿宋_GB2312" w:cs="Times New Roman"/>
          <w:b w:val="0"/>
          <w:bCs w:val="0"/>
          <w:sz w:val="32"/>
          <w:szCs w:val="32"/>
        </w:rPr>
        <w:t>公立医院正常运行与事业发展，</w:t>
      </w:r>
      <w:r>
        <w:rPr>
          <w:rFonts w:hint="default" w:ascii="Times New Roman" w:hAnsi="Times New Roman" w:eastAsia="仿宋_GB2312" w:cs="Times New Roman"/>
          <w:b w:val="0"/>
          <w:bCs w:val="0"/>
          <w:sz w:val="32"/>
          <w:szCs w:val="32"/>
          <w:lang w:eastAsia="zh-CN"/>
        </w:rPr>
        <w:t>确保</w:t>
      </w:r>
      <w:r>
        <w:rPr>
          <w:rFonts w:hint="default" w:ascii="Times New Roman" w:hAnsi="Times New Roman" w:eastAsia="仿宋_GB2312" w:cs="Times New Roman"/>
          <w:b w:val="0"/>
          <w:bCs w:val="0"/>
          <w:sz w:val="32"/>
          <w:szCs w:val="32"/>
        </w:rPr>
        <w:t>公立医院良性运转</w:t>
      </w:r>
      <w:r>
        <w:rPr>
          <w:rFonts w:hint="default" w:ascii="Times New Roman" w:hAnsi="Times New Roman" w:eastAsia="仿宋_GB2312" w:cs="Times New Roman"/>
          <w:color w:val="000000"/>
          <w:kern w:val="0"/>
          <w:sz w:val="32"/>
          <w:szCs w:val="32"/>
          <w:lang w:val="en-US" w:eastAsia="zh-CN" w:bidi="ar"/>
        </w:rPr>
        <w:t>。</w:t>
      </w:r>
    </w:p>
    <w:p>
      <w:pPr>
        <w:pageBreakBefore w:val="0"/>
        <w:kinsoku/>
        <w:wordWrap/>
        <w:overflowPunct/>
        <w:topLinePunct w:val="0"/>
        <w:bidi w:val="0"/>
        <w:snapToGrid w:val="0"/>
        <w:spacing w:line="560" w:lineRule="exact"/>
        <w:ind w:firstLine="710" w:firstLineChars="221"/>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i w:val="0"/>
          <w:color w:val="auto"/>
          <w:kern w:val="0"/>
          <w:sz w:val="32"/>
          <w:szCs w:val="32"/>
          <w:u w:val="none"/>
          <w:lang w:val="en-US" w:eastAsia="zh-CN" w:bidi="ar"/>
        </w:rPr>
        <w:t>推进建设广州呼吸中心建设项目，安排项目预算资金40,000.00万元，采用项目法分配资金，主要用于</w:t>
      </w:r>
      <w:r>
        <w:rPr>
          <w:rFonts w:hint="default" w:ascii="Times New Roman" w:hAnsi="Times New Roman" w:eastAsia="仿宋_GB2312" w:cs="Times New Roman"/>
          <w:sz w:val="32"/>
          <w:szCs w:val="32"/>
        </w:rPr>
        <w:t>支持广州呼吸中心项目建设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业主单位为广州医科大学附属第一医院，</w:t>
      </w:r>
      <w:r>
        <w:rPr>
          <w:rFonts w:hint="default" w:ascii="Times New Roman" w:hAnsi="Times New Roman" w:eastAsia="仿宋_GB2312" w:cs="Times New Roman"/>
          <w:sz w:val="32"/>
          <w:szCs w:val="32"/>
          <w:lang w:eastAsia="zh-CN"/>
        </w:rPr>
        <w:t>代建</w:t>
      </w:r>
      <w:r>
        <w:rPr>
          <w:rFonts w:hint="default" w:ascii="Times New Roman" w:hAnsi="Times New Roman" w:eastAsia="仿宋_GB2312" w:cs="Times New Roman"/>
          <w:sz w:val="32"/>
          <w:szCs w:val="32"/>
        </w:rPr>
        <w:t>单位为广州市重点公共建设项目管理中心。按市发改委可研（调整）批复，项目总投资269848.99万元</w:t>
      </w:r>
      <w:r>
        <w:rPr>
          <w:rFonts w:hint="default" w:ascii="Times New Roman" w:hAnsi="Times New Roman" w:eastAsia="仿宋_GB2312" w:cs="Times New Roman"/>
          <w:sz w:val="32"/>
          <w:szCs w:val="32"/>
          <w:lang w:eastAsia="zh-CN"/>
        </w:rPr>
        <w:t>，其中省级财政投入</w:t>
      </w:r>
      <w:r>
        <w:rPr>
          <w:rFonts w:hint="default" w:ascii="Times New Roman" w:hAnsi="Times New Roman" w:eastAsia="仿宋_GB2312" w:cs="Times New Roman"/>
          <w:sz w:val="32"/>
          <w:szCs w:val="32"/>
          <w:lang w:val="en-US" w:eastAsia="zh-CN"/>
        </w:rPr>
        <w:t>123000万元</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i w:val="0"/>
          <w:color w:val="auto"/>
          <w:kern w:val="0"/>
          <w:sz w:val="32"/>
          <w:szCs w:val="32"/>
          <w:u w:val="none"/>
          <w:lang w:val="en-US" w:eastAsia="zh-CN" w:bidi="ar"/>
        </w:rPr>
        <w:t>推进建设中山大学肿瘤防治中心国家肿瘤医学中心建设项目，安排项目预算资金10,000.00</w:t>
      </w:r>
      <w:r>
        <w:rPr>
          <w:rFonts w:hint="default" w:ascii="Times New Roman" w:hAnsi="Times New Roman" w:eastAsia="仿宋_GB2312" w:cs="Times New Roman"/>
          <w:b w:val="0"/>
          <w:bCs/>
          <w:i w:val="0"/>
          <w:color w:val="auto"/>
          <w:kern w:val="0"/>
          <w:sz w:val="32"/>
          <w:szCs w:val="32"/>
          <w:u w:val="none"/>
          <w:lang w:val="en-US" w:eastAsia="zh-CN" w:bidi="ar"/>
        </w:rPr>
        <w:t>万元</w:t>
      </w:r>
      <w:r>
        <w:rPr>
          <w:rFonts w:hint="default" w:ascii="Times New Roman" w:hAnsi="Times New Roman" w:eastAsia="仿宋_GB2312" w:cs="Times New Roman"/>
          <w:i w:val="0"/>
          <w:color w:val="auto"/>
          <w:kern w:val="0"/>
          <w:sz w:val="32"/>
          <w:szCs w:val="32"/>
          <w:u w:val="none"/>
          <w:lang w:val="en-US" w:eastAsia="zh-CN" w:bidi="ar"/>
        </w:rPr>
        <w:t>，资金分配采用项目法分配，主要用于国家肿瘤医学中心建设</w:t>
      </w:r>
      <w:r>
        <w:rPr>
          <w:rFonts w:hint="default" w:ascii="Times New Roman" w:hAnsi="Times New Roman" w:eastAsia="仿宋_GB2312" w:cs="Times New Roman"/>
          <w:b w:val="0"/>
          <w:bCs/>
          <w:i w:val="0"/>
          <w:color w:val="auto"/>
          <w:kern w:val="0"/>
          <w:sz w:val="32"/>
          <w:szCs w:val="32"/>
          <w:u w:val="none"/>
          <w:lang w:val="en-US" w:eastAsia="zh-CN" w:bidi="ar"/>
        </w:rPr>
        <w:t>。</w:t>
      </w:r>
    </w:p>
    <w:p>
      <w:pPr>
        <w:pStyle w:val="4"/>
        <w:pageBreakBefore w:val="0"/>
        <w:widowControl w:val="0"/>
        <w:kinsoku/>
        <w:wordWrap/>
        <w:overflowPunct/>
        <w:topLinePunct w:val="0"/>
        <w:autoSpaceDE/>
        <w:autoSpaceDN/>
        <w:bidi w:val="0"/>
        <w:adjustRightInd/>
        <w:spacing w:before="0" w:beforeLines="0" w:after="0" w:afterLines="0" w:line="560" w:lineRule="exact"/>
        <w:ind w:firstLine="640" w:firstLineChars="200"/>
        <w:textAlignment w:val="auto"/>
        <w:rPr>
          <w:rFonts w:hint="default" w:ascii="Times New Roman" w:hAnsi="Times New Roman" w:eastAsia="楷体_GB2312" w:cs="Times New Roman"/>
          <w:b w:val="0"/>
          <w:bCs/>
          <w:lang w:eastAsia="zh-CN"/>
        </w:rPr>
      </w:pPr>
      <w:bookmarkStart w:id="3" w:name="_Toc18527"/>
      <w:r>
        <w:rPr>
          <w:rFonts w:hint="default" w:ascii="Times New Roman" w:hAnsi="Times New Roman" w:eastAsia="楷体_GB2312" w:cs="Times New Roman"/>
          <w:b w:val="0"/>
          <w:bCs/>
          <w:lang w:eastAsia="zh-CN"/>
        </w:rPr>
        <w:t>（</w:t>
      </w:r>
      <w:r>
        <w:rPr>
          <w:rFonts w:hint="default" w:ascii="Times New Roman" w:hAnsi="Times New Roman" w:eastAsia="楷体_GB2312" w:cs="Times New Roman"/>
          <w:b w:val="0"/>
          <w:bCs/>
          <w:lang w:val="en-US" w:eastAsia="zh-CN"/>
        </w:rPr>
        <w:t>二</w:t>
      </w:r>
      <w:r>
        <w:rPr>
          <w:rFonts w:hint="default" w:ascii="Times New Roman" w:hAnsi="Times New Roman" w:eastAsia="楷体_GB2312" w:cs="Times New Roman"/>
          <w:b w:val="0"/>
          <w:bCs/>
          <w:lang w:eastAsia="zh-CN"/>
        </w:rPr>
        <w:t>）</w:t>
      </w:r>
      <w:r>
        <w:rPr>
          <w:rFonts w:hint="default" w:ascii="Times New Roman" w:hAnsi="Times New Roman" w:eastAsia="楷体_GB2312" w:cs="Times New Roman"/>
          <w:b w:val="0"/>
          <w:bCs/>
        </w:rPr>
        <w:t>绩效目标</w:t>
      </w:r>
      <w:bookmarkEnd w:id="3"/>
      <w:r>
        <w:rPr>
          <w:rFonts w:hint="default" w:ascii="Times New Roman" w:hAnsi="Times New Roman" w:eastAsia="楷体_GB2312" w:cs="Times New Roman"/>
          <w:b w:val="0"/>
          <w:bCs/>
          <w:lang w:eastAsia="zh-CN"/>
        </w:rPr>
        <w:t>。</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1、年度总体绩效目标。</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i w:val="0"/>
          <w:color w:val="auto"/>
          <w:kern w:val="0"/>
          <w:sz w:val="32"/>
          <w:szCs w:val="32"/>
          <w:highlight w:val="yellow"/>
          <w:u w:val="none"/>
          <w:lang w:val="en-US" w:eastAsia="zh-CN" w:bidi="ar"/>
        </w:rPr>
      </w:pPr>
      <w:r>
        <w:rPr>
          <w:rFonts w:hint="default" w:ascii="Times New Roman" w:hAnsi="Times New Roman" w:eastAsia="仿宋_GB2312" w:cs="Times New Roman"/>
          <w:color w:val="000000"/>
          <w:kern w:val="0"/>
          <w:sz w:val="32"/>
          <w:szCs w:val="32"/>
          <w:lang w:val="en-US" w:eastAsia="zh-CN" w:bidi="ar"/>
        </w:rPr>
        <w:t>高水平医院建设“登峰计划”取得积极成效，解决疑难危重症临床能力显著提升，科技创新支撑条件进一步夯实，高层次人才数量和质量明显提升。坚持公立医院公益属性，进一步调动医务人员积极性，提高公立医院运行效率，公立医院药占比（不含中药饮片）不高于 30%，区域医疗费用增长不超过10%，次均门诊费用增幅不大于9%，逐步破除公立医院逐利机制，建立公立医院科学补偿机制。将</w:t>
      </w:r>
      <w:r>
        <w:rPr>
          <w:rFonts w:hint="default" w:ascii="Times New Roman" w:hAnsi="Times New Roman" w:eastAsia="仿宋_GB2312" w:cs="Times New Roman"/>
          <w:i w:val="0"/>
          <w:color w:val="auto"/>
          <w:kern w:val="0"/>
          <w:sz w:val="32"/>
          <w:szCs w:val="32"/>
          <w:u w:val="none"/>
          <w:lang w:val="en-US" w:eastAsia="zh-CN" w:bidi="ar"/>
        </w:rPr>
        <w:t>广东省呼吸中心建设建设成为世界领先水平的呼吸系统疾病临床和研究中心，2019年绩效目标是开展基坑、主体工程和装饰工程施工。</w:t>
      </w:r>
      <w:r>
        <w:rPr>
          <w:rFonts w:hint="default" w:ascii="Times New Roman" w:hAnsi="Times New Roman" w:eastAsia="仿宋_GB2312" w:cs="Times New Roman"/>
          <w:sz w:val="32"/>
          <w:szCs w:val="32"/>
        </w:rPr>
        <w:t>未来三年内通过建设前沿医疗技术平台、高水平科研平台、肿瘤大数据和人工智能研究应用平台三大平台建设，组建大团队，催生大成果，最终</w:t>
      </w:r>
      <w:r>
        <w:rPr>
          <w:rFonts w:hint="default" w:ascii="Times New Roman" w:hAnsi="Times New Roman" w:eastAsia="仿宋_GB2312" w:cs="Times New Roman"/>
          <w:i w:val="0"/>
          <w:color w:val="auto"/>
          <w:kern w:val="0"/>
          <w:sz w:val="32"/>
          <w:szCs w:val="32"/>
          <w:highlight w:val="none"/>
          <w:u w:val="none"/>
          <w:lang w:val="en-US" w:eastAsia="zh-CN" w:bidi="ar"/>
        </w:rPr>
        <w:t>中山大学肿瘤防治中心国家肿瘤医学中心建设</w:t>
      </w:r>
      <w:r>
        <w:rPr>
          <w:rFonts w:hint="default" w:ascii="Times New Roman" w:hAnsi="Times New Roman" w:eastAsia="仿宋_GB2312" w:cs="Times New Roman"/>
          <w:sz w:val="32"/>
          <w:szCs w:val="32"/>
        </w:rPr>
        <w:t>成为世界顶尖癌症中心</w:t>
      </w:r>
      <w:r>
        <w:rPr>
          <w:rFonts w:hint="default" w:ascii="Times New Roman" w:hAnsi="Times New Roman" w:eastAsia="仿宋_GB2312" w:cs="Times New Roman"/>
          <w:sz w:val="32"/>
          <w:szCs w:val="32"/>
          <w:lang w:eastAsia="zh-CN"/>
        </w:rPr>
        <w:t>。</w:t>
      </w:r>
    </w:p>
    <w:p>
      <w:pPr>
        <w:pageBreakBefore w:val="0"/>
        <w:kinsoku/>
        <w:wordWrap/>
        <w:overflowPunct/>
        <w:topLinePunct w:val="0"/>
        <w:bidi w:val="0"/>
        <w:snapToGrid w:val="0"/>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2、绩效指标。</w:t>
      </w:r>
    </w:p>
    <w:p>
      <w:pPr>
        <w:pStyle w:val="11"/>
        <w:keepNext w:val="0"/>
        <w:keepLines w:val="0"/>
        <w:pageBreakBefore w:val="0"/>
        <w:widowControl w:val="0"/>
        <w:kinsoku/>
        <w:wordWrap/>
        <w:overflowPunct/>
        <w:topLinePunct w:val="0"/>
        <w:autoSpaceDE/>
        <w:autoSpaceDN/>
        <w:bidi w:val="0"/>
        <w:adjustRightInd/>
        <w:spacing w:line="560" w:lineRule="exact"/>
        <w:rPr>
          <w:rFonts w:hint="default" w:ascii="Times New Roman" w:hAnsi="Times New Roman" w:eastAsia="仿宋_GB2312" w:cs="Times New Roman"/>
          <w:b w:val="0"/>
          <w:bCs/>
          <w:i w:val="0"/>
          <w:color w:val="auto"/>
          <w:kern w:val="0"/>
          <w:sz w:val="32"/>
          <w:szCs w:val="32"/>
          <w:u w:val="none"/>
          <w:lang w:val="en-US" w:eastAsia="zh-CN" w:bidi="ar"/>
        </w:rPr>
      </w:pPr>
      <w:r>
        <w:rPr>
          <w:rFonts w:hint="default" w:ascii="Times New Roman" w:hAnsi="Times New Roman" w:eastAsia="仿宋_GB2312" w:cs="Times New Roman"/>
          <w:b w:val="0"/>
          <w:bCs/>
          <w:sz w:val="32"/>
          <w:szCs w:val="32"/>
          <w:lang w:val="en-US" w:eastAsia="zh-CN"/>
        </w:rPr>
        <w:t>针对对应的“政策任务”，我委组织相关部门制定了《2019年重点项目预算绩效目标表》，确定了项目具体绩效指标</w:t>
      </w:r>
      <w:r>
        <w:rPr>
          <w:rFonts w:hint="default" w:ascii="Times New Roman" w:hAnsi="Times New Roman" w:eastAsia="仿宋_GB2312" w:cs="Times New Roman"/>
          <w:b w:val="0"/>
          <w:bCs/>
          <w:i w:val="0"/>
          <w:color w:val="auto"/>
          <w:kern w:val="0"/>
          <w:sz w:val="32"/>
          <w:szCs w:val="32"/>
          <w:u w:val="none"/>
          <w:lang w:val="en-US" w:eastAsia="zh-CN" w:bidi="ar"/>
        </w:rPr>
        <w:t>（见表1）。</w:t>
      </w:r>
    </w:p>
    <w:p>
      <w:pPr>
        <w:pStyle w:val="16"/>
        <w:keepNext w:val="0"/>
        <w:keepLines w:val="0"/>
        <w:pageBreakBefore w:val="0"/>
        <w:widowControl w:val="0"/>
        <w:kinsoku/>
        <w:wordWrap/>
        <w:overflowPunct/>
        <w:topLinePunct w:val="0"/>
        <w:autoSpaceDE w:val="0"/>
        <w:autoSpaceDN w:val="0"/>
        <w:bidi w:val="0"/>
        <w:adjustRightInd w:val="0"/>
        <w:snapToGrid/>
        <w:spacing w:beforeLines="0" w:afterLines="0" w:line="540" w:lineRule="exact"/>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表1：</w:t>
      </w:r>
      <w:r>
        <w:rPr>
          <w:rFonts w:hint="default" w:ascii="Times New Roman" w:hAnsi="Times New Roman" w:eastAsia="仿宋_GB2312" w:cs="Times New Roman"/>
          <w:b/>
          <w:bCs/>
          <w:sz w:val="32"/>
          <w:szCs w:val="32"/>
        </w:rPr>
        <w:t>健全现代医院管理制度</w:t>
      </w:r>
      <w:r>
        <w:rPr>
          <w:rFonts w:hint="default" w:ascii="Times New Roman" w:hAnsi="Times New Roman" w:eastAsia="仿宋_GB2312" w:cs="Times New Roman"/>
          <w:b/>
          <w:bCs/>
          <w:i w:val="0"/>
          <w:color w:val="auto"/>
          <w:kern w:val="0"/>
          <w:sz w:val="32"/>
          <w:szCs w:val="32"/>
          <w:u w:val="none"/>
          <w:lang w:val="en-US" w:eastAsia="zh-CN" w:bidi="ar"/>
        </w:rPr>
        <w:t>财政事权</w:t>
      </w:r>
      <w:r>
        <w:rPr>
          <w:rFonts w:hint="default" w:ascii="Times New Roman" w:hAnsi="Times New Roman" w:eastAsia="仿宋_GB2312" w:cs="Times New Roman"/>
          <w:b/>
          <w:bCs/>
          <w:color w:val="000000"/>
          <w:kern w:val="0"/>
          <w:sz w:val="32"/>
          <w:szCs w:val="32"/>
          <w:lang w:val="en-US" w:eastAsia="zh-CN" w:bidi="ar"/>
        </w:rPr>
        <w:t>绩效目标表</w:t>
      </w:r>
    </w:p>
    <w:tbl>
      <w:tblPr>
        <w:tblStyle w:val="1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102"/>
        <w:gridCol w:w="4058"/>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928" w:type="dxa"/>
            <w:shd w:val="clear" w:color="auto" w:fill="FBD4B4"/>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一级指标</w:t>
            </w:r>
          </w:p>
        </w:tc>
        <w:tc>
          <w:tcPr>
            <w:tcW w:w="2102" w:type="dxa"/>
            <w:shd w:val="clear" w:color="auto" w:fill="FBD4B4"/>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二级指标</w:t>
            </w:r>
          </w:p>
        </w:tc>
        <w:tc>
          <w:tcPr>
            <w:tcW w:w="4058" w:type="dxa"/>
            <w:shd w:val="clear" w:color="auto" w:fill="FBD4B4"/>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三级指标</w:t>
            </w:r>
          </w:p>
        </w:tc>
        <w:tc>
          <w:tcPr>
            <w:tcW w:w="1972" w:type="dxa"/>
            <w:shd w:val="clear" w:color="auto" w:fill="FBD4B4"/>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黑体" w:cs="Times New Roman"/>
                <w:b w:val="0"/>
                <w:bCs w:val="0"/>
                <w:color w:val="000000"/>
                <w:kern w:val="0"/>
                <w:sz w:val="28"/>
                <w:szCs w:val="28"/>
                <w:vertAlign w:val="baseline"/>
                <w:lang w:val="en-US" w:eastAsia="zh-CN" w:bidi="ar"/>
              </w:rPr>
            </w:pPr>
            <w:r>
              <w:rPr>
                <w:rFonts w:hint="default" w:ascii="Times New Roman" w:hAnsi="Times New Roman" w:eastAsia="黑体" w:cs="Times New Roman"/>
                <w:b w:val="0"/>
                <w:bCs w:val="0"/>
                <w:color w:val="000000"/>
                <w:kern w:val="0"/>
                <w:sz w:val="28"/>
                <w:szCs w:val="28"/>
                <w:lang w:val="en-US" w:eastAsia="zh-CN" w:bidi="ar"/>
              </w:rPr>
              <w:t>年度目标值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9" w:hRule="atLeast"/>
        </w:trPr>
        <w:tc>
          <w:tcPr>
            <w:tcW w:w="92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color w:val="000000"/>
                <w:kern w:val="0"/>
                <w:sz w:val="28"/>
                <w:szCs w:val="28"/>
                <w:lang w:val="en-US" w:eastAsia="zh-CN" w:bidi="ar"/>
              </w:rPr>
              <w:t>产出指标</w:t>
            </w:r>
          </w:p>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数量指标</w:t>
            </w:r>
          </w:p>
          <w:p>
            <w:pPr>
              <w:keepNext w:val="0"/>
              <w:keepLines w:val="0"/>
              <w:pageBreakBefore w:val="0"/>
              <w:kinsoku/>
              <w:wordWrap/>
              <w:overflowPunct/>
              <w:topLinePunct w:val="0"/>
              <w:bidi w:val="0"/>
              <w:snapToGrid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全国百强医院</w:t>
            </w:r>
          </w:p>
        </w:tc>
        <w:tc>
          <w:tcPr>
            <w:tcW w:w="197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p>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发展前沿技术</w:t>
            </w:r>
          </w:p>
        </w:tc>
        <w:tc>
          <w:tcPr>
            <w:tcW w:w="1972" w:type="dxa"/>
            <w:noWrap w:val="0"/>
            <w:vAlign w:val="top"/>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147</w:t>
            </w:r>
            <w:r>
              <w:rPr>
                <w:rFonts w:hint="default" w:ascii="Times New Roman" w:hAnsi="Times New Roman" w:eastAsia="仿宋_GB2312" w:cs="Times New Roman"/>
                <w:spacing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建设高水平临床科研平台</w:t>
            </w:r>
          </w:p>
        </w:tc>
        <w:tc>
          <w:tcPr>
            <w:tcW w:w="1972" w:type="dxa"/>
            <w:noWrap w:val="0"/>
            <w:vAlign w:val="top"/>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177个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集聚拔尖医学人才</w:t>
            </w:r>
          </w:p>
        </w:tc>
        <w:tc>
          <w:tcPr>
            <w:tcW w:w="1972" w:type="dxa"/>
            <w:noWrap w:val="0"/>
            <w:vAlign w:val="top"/>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186人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打造一流医学学科</w:t>
            </w:r>
          </w:p>
        </w:tc>
        <w:tc>
          <w:tcPr>
            <w:tcW w:w="1972" w:type="dxa"/>
            <w:noWrap w:val="0"/>
            <w:vAlign w:val="top"/>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113个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建立现代化医院管理制度</w:t>
            </w:r>
          </w:p>
        </w:tc>
        <w:tc>
          <w:tcPr>
            <w:tcW w:w="197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187</w:t>
            </w:r>
            <w:r>
              <w:rPr>
                <w:rFonts w:hint="default" w:ascii="Times New Roman" w:hAnsi="Times New Roman" w:eastAsia="仿宋_GB2312" w:cs="Times New Roman"/>
                <w:spacing w:val="0"/>
                <w:kern w:val="0"/>
                <w:sz w:val="28"/>
                <w:szCs w:val="28"/>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药占比(不含中药饮片)（%）</w:t>
            </w:r>
          </w:p>
        </w:tc>
        <w:tc>
          <w:tcPr>
            <w:tcW w:w="197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restart"/>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质量指标</w:t>
            </w: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百元医疗收入（不含药品收入）中卫生耗材消耗（元）</w:t>
            </w:r>
          </w:p>
        </w:tc>
        <w:tc>
          <w:tcPr>
            <w:tcW w:w="197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比上年下降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发挥示范引领作用</w:t>
            </w:r>
          </w:p>
        </w:tc>
        <w:tc>
          <w:tcPr>
            <w:tcW w:w="197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vertAlign w:val="baseline"/>
                <w:lang w:val="en-US" w:eastAsia="zh-CN" w:bidi="ar"/>
              </w:rPr>
              <w:t>130个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trPr>
        <w:tc>
          <w:tcPr>
            <w:tcW w:w="928" w:type="dxa"/>
            <w:vMerge w:val="restart"/>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效益指标</w:t>
            </w:r>
          </w:p>
        </w:tc>
        <w:tc>
          <w:tcPr>
            <w:tcW w:w="2102"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社会效益指标</w:t>
            </w: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区域医疗费用增长幅度（%）</w:t>
            </w:r>
          </w:p>
        </w:tc>
        <w:tc>
          <w:tcPr>
            <w:tcW w:w="1972" w:type="dxa"/>
            <w:noWrap w:val="0"/>
            <w:vAlign w:val="center"/>
          </w:tcPr>
          <w:p>
            <w:pPr>
              <w:keepNext w:val="0"/>
              <w:keepLines w:val="0"/>
              <w:pageBreakBefore w:val="0"/>
              <w:kinsoku/>
              <w:wordWrap/>
              <w:overflowPunct/>
              <w:topLinePunct w:val="0"/>
              <w:bidi w:val="0"/>
              <w:snapToGrid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928" w:type="dxa"/>
            <w:vMerge w:val="continue"/>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p>
        </w:tc>
        <w:tc>
          <w:tcPr>
            <w:tcW w:w="2102" w:type="dxa"/>
            <w:noWrap w:val="0"/>
            <w:vAlign w:val="top"/>
          </w:tcPr>
          <w:p>
            <w:pPr>
              <w:keepNext w:val="0"/>
              <w:keepLines w:val="0"/>
              <w:pageBreakBefore w:val="0"/>
              <w:kinsoku/>
              <w:wordWrap/>
              <w:overflowPunct/>
              <w:topLinePunct w:val="0"/>
              <w:bidi w:val="0"/>
              <w:snapToGrid w:val="0"/>
              <w:spacing w:line="360" w:lineRule="exac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可持续指标</w:t>
            </w:r>
          </w:p>
        </w:tc>
        <w:tc>
          <w:tcPr>
            <w:tcW w:w="4058" w:type="dxa"/>
            <w:noWrap w:val="0"/>
            <w:vAlign w:val="top"/>
          </w:tcPr>
          <w:p>
            <w:pPr>
              <w:keepNext w:val="0"/>
              <w:keepLines w:val="0"/>
              <w:pageBreakBefore w:val="0"/>
              <w:widowControl/>
              <w:suppressLineNumbers w:val="0"/>
              <w:kinsoku/>
              <w:wordWrap/>
              <w:overflowPunct/>
              <w:topLinePunct w:val="0"/>
              <w:bidi w:val="0"/>
              <w:spacing w:line="360" w:lineRule="exact"/>
              <w:jc w:val="left"/>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个人卫生支出占卫生总费用的比重（%）</w:t>
            </w:r>
          </w:p>
        </w:tc>
        <w:tc>
          <w:tcPr>
            <w:tcW w:w="1972" w:type="dxa"/>
            <w:noWrap w:val="0"/>
            <w:vAlign w:val="center"/>
          </w:tcPr>
          <w:p>
            <w:pPr>
              <w:keepNext w:val="0"/>
              <w:keepLines w:val="0"/>
              <w:pageBreakBefore w:val="0"/>
              <w:widowControl/>
              <w:suppressLineNumbers w:val="0"/>
              <w:kinsoku/>
              <w:wordWrap/>
              <w:overflowPunct/>
              <w:topLinePunct w:val="0"/>
              <w:bidi w:val="0"/>
              <w:spacing w:line="360" w:lineRule="exact"/>
              <w:jc w:val="center"/>
              <w:textAlignment w:val="auto"/>
              <w:rPr>
                <w:rFonts w:hint="default" w:ascii="Times New Roman" w:hAnsi="Times New Roman" w:eastAsia="仿宋_GB2312" w:cs="Times New Roman"/>
                <w:color w:val="000000"/>
                <w:kern w:val="0"/>
                <w:sz w:val="28"/>
                <w:szCs w:val="28"/>
                <w:vertAlign w:val="baseline"/>
                <w:lang w:val="en-US" w:eastAsia="zh-CN" w:bidi="ar"/>
              </w:rPr>
            </w:pPr>
            <w:r>
              <w:rPr>
                <w:rFonts w:hint="default" w:ascii="Times New Roman" w:hAnsi="Times New Roman" w:eastAsia="仿宋_GB2312" w:cs="Times New Roman"/>
                <w:color w:val="000000"/>
                <w:kern w:val="0"/>
                <w:sz w:val="28"/>
                <w:szCs w:val="28"/>
                <w:lang w:val="en-US" w:eastAsia="zh-CN" w:bidi="ar"/>
              </w:rPr>
              <w:t>≤27%</w:t>
            </w:r>
          </w:p>
        </w:tc>
      </w:tr>
    </w:tbl>
    <w:p>
      <w:pPr>
        <w:pStyle w:val="3"/>
        <w:keepNext/>
        <w:keepLines/>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黑体" w:cs="Times New Roman"/>
          <w:b w:val="0"/>
          <w:bCs/>
          <w:sz w:val="32"/>
          <w:szCs w:val="32"/>
        </w:rPr>
      </w:pPr>
      <w:bookmarkStart w:id="4" w:name="_Toc17932"/>
      <w:r>
        <w:rPr>
          <w:rFonts w:hint="default" w:ascii="Times New Roman" w:hAnsi="Times New Roman" w:eastAsia="黑体" w:cs="Times New Roman"/>
          <w:b w:val="0"/>
          <w:bCs/>
          <w:sz w:val="32"/>
          <w:szCs w:val="32"/>
        </w:rPr>
        <w:t>二、自评情况</w:t>
      </w:r>
      <w:bookmarkEnd w:id="4"/>
    </w:p>
    <w:p>
      <w:pPr>
        <w:pStyle w:val="4"/>
        <w:keepNext/>
        <w:keepLines/>
        <w:pageBreakBefore w:val="0"/>
        <w:widowControl w:val="0"/>
        <w:kinsoku/>
        <w:wordWrap/>
        <w:overflowPunct/>
        <w:topLinePunct w:val="0"/>
        <w:autoSpaceDE/>
        <w:autoSpaceDN/>
        <w:bidi w:val="0"/>
        <w:adjustRightInd/>
        <w:snapToGrid/>
        <w:spacing w:before="0" w:after="0" w:line="540" w:lineRule="exact"/>
        <w:ind w:firstLine="640" w:firstLineChars="200"/>
        <w:textAlignment w:val="auto"/>
        <w:rPr>
          <w:rFonts w:hint="default" w:ascii="Times New Roman" w:hAnsi="Times New Roman" w:eastAsia="楷体_GB2312" w:cs="Times New Roman"/>
          <w:b w:val="0"/>
          <w:bCs/>
          <w:lang w:eastAsia="zh-CN"/>
        </w:rPr>
      </w:pPr>
      <w:r>
        <w:rPr>
          <w:rFonts w:hint="default" w:ascii="Times New Roman" w:hAnsi="Times New Roman" w:eastAsia="楷体_GB2312" w:cs="Times New Roman"/>
          <w:b w:val="0"/>
          <w:bCs/>
        </w:rPr>
        <w:t>（一）自评分数</w:t>
      </w:r>
      <w:r>
        <w:rPr>
          <w:rFonts w:hint="default" w:ascii="Times New Roman" w:hAnsi="Times New Roman" w:eastAsia="楷体_GB2312" w:cs="Times New Roman"/>
          <w:b w:val="0"/>
          <w:bCs/>
          <w:lang w:eastAsia="zh-CN"/>
        </w:rPr>
        <w:t>。</w:t>
      </w:r>
    </w:p>
    <w:p>
      <w:pPr>
        <w:pStyle w:val="3"/>
        <w:keepNext/>
        <w:keepLines/>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textAlignment w:val="auto"/>
        <w:rPr>
          <w:rFonts w:hint="default" w:ascii="Times New Roman" w:hAnsi="Times New Roman" w:eastAsia="仿宋_GB2312" w:cs="Times New Roman"/>
          <w:b w:val="0"/>
          <w:bCs/>
          <w:color w:val="000000"/>
          <w:kern w:val="0"/>
          <w:sz w:val="32"/>
          <w:szCs w:val="32"/>
          <w:highlight w:val="none"/>
          <w:lang w:val="zh-CN"/>
        </w:rPr>
      </w:pPr>
      <w:r>
        <w:rPr>
          <w:rFonts w:hint="default" w:ascii="Times New Roman" w:hAnsi="Times New Roman" w:eastAsia="仿宋_GB2312" w:cs="Times New Roman"/>
          <w:b w:val="0"/>
          <w:bCs/>
          <w:color w:val="000000"/>
          <w:kern w:val="0"/>
          <w:sz w:val="32"/>
          <w:szCs w:val="32"/>
          <w:highlight w:val="none"/>
          <w:lang w:val="en-US" w:eastAsia="zh-CN" w:bidi="ar"/>
        </w:rPr>
        <w:t>根据《广东省财政厅关于开展2020年省级财政资金绩效自评工作的通知》（粤财资</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2020</w:t>
      </w:r>
      <w:r>
        <w:rPr>
          <w:rFonts w:hint="default" w:ascii="Times New Roman" w:hAnsi="Times New Roman" w:eastAsia="宋体" w:cs="Times New Roman"/>
          <w:b w:val="0"/>
          <w:bCs/>
          <w:color w:val="000000"/>
          <w:kern w:val="0"/>
          <w:sz w:val="32"/>
          <w:szCs w:val="32"/>
          <w:highlight w:val="none"/>
          <w:lang w:val="en-US"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16号），我委对</w:t>
      </w:r>
      <w:r>
        <w:rPr>
          <w:rFonts w:hint="default" w:ascii="Times New Roman" w:hAnsi="Times New Roman" w:eastAsia="仿宋_GB2312" w:cs="Times New Roman"/>
          <w:b w:val="0"/>
          <w:bCs/>
          <w:color w:val="000000"/>
          <w:kern w:val="0"/>
          <w:sz w:val="32"/>
          <w:szCs w:val="32"/>
          <w:highlight w:val="none"/>
          <w:lang w:bidi="ar"/>
        </w:rPr>
        <w:t>2019 年</w:t>
      </w:r>
      <w:r>
        <w:rPr>
          <w:rFonts w:hint="default" w:ascii="Times New Roman" w:hAnsi="Times New Roman" w:eastAsia="仿宋_GB2312" w:cs="Times New Roman"/>
          <w:b w:val="0"/>
          <w:bCs/>
          <w:color w:val="000000"/>
          <w:kern w:val="0"/>
          <w:sz w:val="32"/>
          <w:szCs w:val="32"/>
          <w:highlight w:val="none"/>
          <w:lang w:val="en-US" w:eastAsia="zh-CN" w:bidi="ar"/>
        </w:rPr>
        <w:t>度</w:t>
      </w:r>
      <w:r>
        <w:rPr>
          <w:rFonts w:hint="default" w:ascii="Times New Roman" w:hAnsi="Times New Roman" w:eastAsia="仿宋_GB2312" w:cs="Times New Roman"/>
          <w:b w:val="0"/>
          <w:bCs w:val="0"/>
          <w:sz w:val="32"/>
          <w:szCs w:val="32"/>
        </w:rPr>
        <w:t>健全现代医院管理制度</w:t>
      </w:r>
      <w:r>
        <w:rPr>
          <w:rFonts w:hint="default" w:ascii="Times New Roman" w:hAnsi="Times New Roman" w:eastAsia="仿宋_GB2312" w:cs="Times New Roman"/>
          <w:b w:val="0"/>
          <w:bCs w:val="0"/>
          <w:i w:val="0"/>
          <w:color w:val="auto"/>
          <w:kern w:val="0"/>
          <w:sz w:val="32"/>
          <w:szCs w:val="32"/>
          <w:u w:val="none"/>
          <w:lang w:val="en-US" w:eastAsia="zh-CN" w:bidi="ar"/>
        </w:rPr>
        <w:t>财政事权</w:t>
      </w:r>
      <w:r>
        <w:rPr>
          <w:rFonts w:hint="default" w:ascii="Times New Roman" w:hAnsi="Times New Roman" w:eastAsia="仿宋_GB2312" w:cs="Times New Roman"/>
          <w:b w:val="0"/>
          <w:bCs/>
          <w:i w:val="0"/>
          <w:color w:val="auto"/>
          <w:kern w:val="0"/>
          <w:sz w:val="32"/>
          <w:szCs w:val="32"/>
          <w:u w:val="none"/>
          <w:lang w:val="en-US" w:eastAsia="zh-CN" w:bidi="ar"/>
        </w:rPr>
        <w:t>资金</w:t>
      </w:r>
      <w:r>
        <w:rPr>
          <w:rFonts w:hint="default" w:ascii="Times New Roman" w:hAnsi="Times New Roman" w:eastAsia="仿宋_GB2312" w:cs="Times New Roman"/>
          <w:b w:val="0"/>
          <w:bCs/>
          <w:color w:val="000000"/>
          <w:kern w:val="0"/>
          <w:sz w:val="32"/>
          <w:szCs w:val="32"/>
          <w:highlight w:val="none"/>
        </w:rPr>
        <w:t>使用绩效</w:t>
      </w:r>
      <w:r>
        <w:rPr>
          <w:rFonts w:hint="default" w:ascii="Times New Roman" w:hAnsi="Times New Roman" w:eastAsia="仿宋_GB2312" w:cs="Times New Roman"/>
          <w:b w:val="0"/>
          <w:bCs/>
          <w:color w:val="000000"/>
          <w:kern w:val="0"/>
          <w:sz w:val="32"/>
          <w:szCs w:val="32"/>
          <w:highlight w:val="none"/>
          <w:lang w:val="en-US" w:eastAsia="zh-CN"/>
        </w:rPr>
        <w:t>进行了</w:t>
      </w:r>
      <w:r>
        <w:rPr>
          <w:rFonts w:hint="default" w:ascii="Times New Roman" w:hAnsi="Times New Roman" w:eastAsia="仿宋_GB2312" w:cs="Times New Roman"/>
          <w:b w:val="0"/>
          <w:bCs/>
          <w:color w:val="000000"/>
          <w:kern w:val="0"/>
          <w:sz w:val="32"/>
          <w:szCs w:val="32"/>
          <w:highlight w:val="none"/>
          <w:lang w:val="en-US" w:eastAsia="zh-CN" w:bidi="ar"/>
        </w:rPr>
        <w:t>客观分析和综合评价，</w:t>
      </w:r>
      <w:r>
        <w:rPr>
          <w:rFonts w:hint="default" w:ascii="Times New Roman" w:hAnsi="Times New Roman" w:eastAsia="仿宋_GB2312" w:cs="Times New Roman"/>
          <w:b w:val="0"/>
          <w:bCs/>
          <w:color w:val="000000"/>
          <w:kern w:val="0"/>
          <w:sz w:val="32"/>
          <w:szCs w:val="32"/>
          <w:highlight w:val="none"/>
          <w:lang w:eastAsia="zh-CN"/>
        </w:rPr>
        <w:t>自评</w:t>
      </w:r>
      <w:r>
        <w:rPr>
          <w:rFonts w:hint="default" w:ascii="Times New Roman" w:hAnsi="Times New Roman" w:eastAsia="仿宋_GB2312" w:cs="Times New Roman"/>
          <w:b w:val="0"/>
          <w:bCs/>
          <w:color w:val="000000"/>
          <w:kern w:val="0"/>
          <w:sz w:val="32"/>
          <w:szCs w:val="32"/>
          <w:highlight w:val="none"/>
          <w:lang w:val="zh-CN"/>
        </w:rPr>
        <w:t>得分为</w:t>
      </w:r>
      <w:r>
        <w:rPr>
          <w:rFonts w:hint="eastAsia" w:cs="Times New Roman"/>
          <w:b w:val="0"/>
          <w:bCs/>
          <w:color w:val="000000"/>
          <w:kern w:val="0"/>
          <w:sz w:val="32"/>
          <w:szCs w:val="32"/>
          <w:highlight w:val="none"/>
          <w:lang w:val="en-US" w:eastAsia="zh-CN"/>
        </w:rPr>
        <w:t>95.34</w:t>
      </w:r>
      <w:r>
        <w:rPr>
          <w:rFonts w:hint="default" w:ascii="Times New Roman" w:hAnsi="Times New Roman" w:eastAsia="仿宋_GB2312" w:cs="Times New Roman"/>
          <w:b w:val="0"/>
          <w:bCs/>
          <w:color w:val="000000"/>
          <w:kern w:val="0"/>
          <w:sz w:val="32"/>
          <w:szCs w:val="32"/>
          <w:highlight w:val="none"/>
          <w:lang w:val="zh-CN"/>
        </w:rPr>
        <w:t>分，</w:t>
      </w:r>
      <w:r>
        <w:rPr>
          <w:rFonts w:hint="default" w:ascii="Times New Roman" w:hAnsi="Times New Roman" w:eastAsia="仿宋_GB2312" w:cs="Times New Roman"/>
          <w:b w:val="0"/>
          <w:bCs/>
          <w:color w:val="000000"/>
          <w:kern w:val="0"/>
          <w:sz w:val="32"/>
          <w:szCs w:val="32"/>
          <w:highlight w:val="none"/>
          <w:lang w:bidi="ar"/>
        </w:rPr>
        <w:t>一</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二</w:t>
      </w:r>
      <w:r>
        <w:rPr>
          <w:rFonts w:hint="default" w:ascii="Times New Roman" w:hAnsi="Times New Roman" w:eastAsia="仿宋_GB2312" w:cs="Times New Roman"/>
          <w:b w:val="0"/>
          <w:bCs/>
          <w:color w:val="000000"/>
          <w:kern w:val="0"/>
          <w:sz w:val="32"/>
          <w:szCs w:val="32"/>
          <w:highlight w:val="none"/>
          <w:lang w:bidi="ar"/>
        </w:rPr>
        <w:t>级指标</w:t>
      </w:r>
      <w:r>
        <w:rPr>
          <w:rFonts w:hint="default" w:ascii="Times New Roman" w:hAnsi="Times New Roman" w:eastAsia="仿宋_GB2312" w:cs="Times New Roman"/>
          <w:b w:val="0"/>
          <w:bCs/>
          <w:color w:val="000000"/>
          <w:kern w:val="0"/>
          <w:sz w:val="32"/>
          <w:szCs w:val="32"/>
          <w:highlight w:val="none"/>
          <w:lang w:val="en-US" w:eastAsia="zh-CN" w:bidi="ar"/>
        </w:rPr>
        <w:t>得分情况</w:t>
      </w:r>
      <w:r>
        <w:rPr>
          <w:rFonts w:hint="default" w:ascii="Times New Roman" w:hAnsi="Times New Roman" w:eastAsia="仿宋_GB2312" w:cs="Times New Roman"/>
          <w:b w:val="0"/>
          <w:bCs/>
          <w:color w:val="000000"/>
          <w:kern w:val="0"/>
          <w:sz w:val="32"/>
          <w:szCs w:val="32"/>
          <w:highlight w:val="none"/>
          <w:lang w:bidi="ar"/>
        </w:rPr>
        <w:t>见图1</w:t>
      </w:r>
      <w:r>
        <w:rPr>
          <w:rFonts w:hint="default" w:ascii="Times New Roman" w:hAnsi="Times New Roman" w:eastAsia="仿宋_GB2312" w:cs="Times New Roman"/>
          <w:b w:val="0"/>
          <w:bCs/>
          <w:color w:val="000000"/>
          <w:kern w:val="0"/>
          <w:sz w:val="32"/>
          <w:szCs w:val="32"/>
          <w:highlight w:val="none"/>
          <w:lang w:eastAsia="zh-CN" w:bidi="ar"/>
        </w:rPr>
        <w:t>、</w:t>
      </w:r>
      <w:r>
        <w:rPr>
          <w:rFonts w:hint="default" w:ascii="Times New Roman" w:hAnsi="Times New Roman" w:eastAsia="仿宋_GB2312" w:cs="Times New Roman"/>
          <w:b w:val="0"/>
          <w:bCs/>
          <w:color w:val="000000"/>
          <w:kern w:val="0"/>
          <w:sz w:val="32"/>
          <w:szCs w:val="32"/>
          <w:highlight w:val="none"/>
          <w:lang w:val="en-US" w:eastAsia="zh-CN" w:bidi="ar"/>
        </w:rPr>
        <w:t>图2</w:t>
      </w:r>
      <w:r>
        <w:rPr>
          <w:rFonts w:hint="default" w:ascii="Times New Roman" w:hAnsi="Times New Roman" w:eastAsia="仿宋_GB2312" w:cs="Times New Roman"/>
          <w:b w:val="0"/>
          <w:bCs/>
          <w:color w:val="000000"/>
          <w:kern w:val="0"/>
          <w:sz w:val="32"/>
          <w:szCs w:val="32"/>
          <w:highlight w:val="none"/>
          <w:lang w:bidi="ar"/>
        </w:rPr>
        <w:t>，项目指标得分见</w:t>
      </w:r>
      <w:r>
        <w:rPr>
          <w:rFonts w:hint="default" w:ascii="Times New Roman" w:hAnsi="Times New Roman" w:eastAsia="仿宋_GB2312" w:cs="Times New Roman"/>
          <w:b w:val="0"/>
          <w:bCs/>
          <w:color w:val="000000"/>
          <w:kern w:val="0"/>
          <w:sz w:val="32"/>
          <w:szCs w:val="32"/>
          <w:highlight w:val="none"/>
          <w:lang w:val="zh-CN"/>
        </w:rPr>
        <w:t>见表</w:t>
      </w:r>
      <w:r>
        <w:rPr>
          <w:rFonts w:hint="default" w:ascii="Times New Roman" w:hAnsi="Times New Roman" w:eastAsia="仿宋_GB2312" w:cs="Times New Roman"/>
          <w:b w:val="0"/>
          <w:bCs/>
          <w:color w:val="000000"/>
          <w:kern w:val="0"/>
          <w:sz w:val="32"/>
          <w:szCs w:val="32"/>
          <w:highlight w:val="none"/>
          <w:lang w:val="en-US" w:eastAsia="zh-CN"/>
        </w:rPr>
        <w:t>2</w:t>
      </w:r>
      <w:r>
        <w:rPr>
          <w:rFonts w:hint="default" w:ascii="Times New Roman" w:hAnsi="Times New Roman" w:eastAsia="仿宋_GB2312" w:cs="Times New Roman"/>
          <w:b w:val="0"/>
          <w:bCs/>
          <w:color w:val="000000"/>
          <w:kern w:val="0"/>
          <w:sz w:val="32"/>
          <w:szCs w:val="32"/>
          <w:highlight w:val="none"/>
          <w:lang w:val="zh-CN"/>
        </w:rPr>
        <w:t>，绩效等级为“</w:t>
      </w:r>
      <w:r>
        <w:rPr>
          <w:rFonts w:hint="default" w:ascii="Times New Roman" w:hAnsi="Times New Roman" w:eastAsia="仿宋_GB2312" w:cs="Times New Roman"/>
          <w:b w:val="0"/>
          <w:bCs/>
          <w:color w:val="000000"/>
          <w:kern w:val="0"/>
          <w:sz w:val="32"/>
          <w:szCs w:val="32"/>
          <w:highlight w:val="none"/>
          <w:lang w:val="en-US" w:eastAsia="zh-CN"/>
        </w:rPr>
        <w:t>优</w:t>
      </w:r>
      <w:r>
        <w:rPr>
          <w:rFonts w:hint="default" w:ascii="Times New Roman" w:hAnsi="Times New Roman" w:eastAsia="仿宋_GB2312" w:cs="Times New Roman"/>
          <w:b w:val="0"/>
          <w:bCs/>
          <w:color w:val="000000"/>
          <w:kern w:val="0"/>
          <w:sz w:val="32"/>
          <w:szCs w:val="32"/>
          <w:highlight w:val="none"/>
          <w:lang w:val="zh-CN"/>
        </w:rPr>
        <w:t>”，</w:t>
      </w:r>
      <w:r>
        <w:rPr>
          <w:rFonts w:hint="default" w:ascii="Times New Roman" w:hAnsi="Times New Roman" w:eastAsia="仿宋_GB2312" w:cs="Times New Roman"/>
          <w:b w:val="0"/>
          <w:bCs/>
          <w:color w:val="000000"/>
          <w:kern w:val="0"/>
          <w:sz w:val="32"/>
          <w:szCs w:val="32"/>
          <w:lang w:val="en-US" w:eastAsia="zh-CN" w:bidi="ar"/>
        </w:rPr>
        <w:t>绩效评价指标具体情况分析</w:t>
      </w:r>
      <w:r>
        <w:rPr>
          <w:rFonts w:hint="default" w:ascii="Times New Roman" w:hAnsi="Times New Roman" w:eastAsia="仿宋_GB2312" w:cs="Times New Roman"/>
          <w:b w:val="0"/>
          <w:bCs/>
          <w:color w:val="000000"/>
          <w:kern w:val="0"/>
          <w:sz w:val="32"/>
          <w:szCs w:val="32"/>
          <w:highlight w:val="none"/>
          <w:lang w:val="en-US" w:eastAsia="zh-CN"/>
        </w:rPr>
        <w:t>见附件1</w:t>
      </w:r>
      <w:r>
        <w:rPr>
          <w:rFonts w:hint="default" w:ascii="Times New Roman" w:hAnsi="Times New Roman" w:eastAsia="仿宋_GB2312" w:cs="Times New Roman"/>
          <w:b w:val="0"/>
          <w:bCs/>
          <w:color w:val="000000"/>
          <w:kern w:val="0"/>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lang w:val="zh-CN"/>
        </w:rPr>
      </w:pPr>
      <w:r>
        <w:drawing>
          <wp:inline distT="0" distB="0" distL="114300" distR="114300">
            <wp:extent cx="5638800" cy="3619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638800" cy="3619500"/>
                    </a:xfrm>
                    <a:prstGeom prst="rect">
                      <a:avLst/>
                    </a:prstGeom>
                    <a:noFill/>
                    <a:ln>
                      <a:noFill/>
                    </a:ln>
                  </pic:spPr>
                </pic:pic>
              </a:graphicData>
            </a:graphic>
          </wp:inline>
        </w:drawing>
      </w:r>
    </w:p>
    <w:p>
      <w:pPr>
        <w:pageBreakBefore w:val="0"/>
        <w:kinsoku/>
        <w:wordWrap/>
        <w:overflowPunct/>
        <w:topLinePunct w:val="0"/>
        <w:bidi w:val="0"/>
        <w:spacing w:line="560" w:lineRule="exact"/>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图1：一级指标得分情况</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0" w:firstLineChars="0"/>
        <w:jc w:val="both"/>
        <w:textAlignment w:val="auto"/>
        <w:rPr>
          <w:rFonts w:hint="default" w:ascii="Times New Roman" w:hAnsi="Times New Roman" w:eastAsia="仿宋_GB2312" w:cs="Times New Roman"/>
          <w:b/>
          <w:color w:val="000000"/>
          <w:kern w:val="0"/>
          <w:sz w:val="32"/>
          <w:szCs w:val="32"/>
          <w:highlight w:val="none"/>
          <w:lang w:val="zh-CN"/>
        </w:rPr>
      </w:pPr>
      <w:r>
        <w:drawing>
          <wp:inline distT="0" distB="0" distL="114300" distR="114300">
            <wp:extent cx="5619750" cy="3238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619750" cy="323850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color w:val="000000"/>
          <w:kern w:val="0"/>
          <w:sz w:val="28"/>
          <w:szCs w:val="28"/>
          <w:highlight w:val="none"/>
          <w:lang w:val="en-US" w:eastAsia="zh-CN"/>
        </w:rPr>
      </w:pPr>
      <w:r>
        <w:rPr>
          <w:rFonts w:hint="default" w:ascii="Times New Roman" w:hAnsi="Times New Roman" w:eastAsia="仿宋_GB2312" w:cs="Times New Roman"/>
          <w:b w:val="0"/>
          <w:bCs/>
          <w:color w:val="000000"/>
          <w:kern w:val="0"/>
          <w:sz w:val="28"/>
          <w:szCs w:val="28"/>
          <w:highlight w:val="none"/>
          <w:lang w:val="zh-CN"/>
        </w:rPr>
        <w:t>图</w:t>
      </w:r>
      <w:r>
        <w:rPr>
          <w:rFonts w:hint="default" w:ascii="Times New Roman" w:hAnsi="Times New Roman" w:eastAsia="仿宋_GB2312" w:cs="Times New Roman"/>
          <w:b w:val="0"/>
          <w:bCs/>
          <w:color w:val="000000"/>
          <w:kern w:val="0"/>
          <w:sz w:val="28"/>
          <w:szCs w:val="28"/>
          <w:highlight w:val="none"/>
          <w:lang w:val="en-US" w:eastAsia="zh-CN"/>
        </w:rPr>
        <w:t>2：二级指标得分情况</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color w:val="000000"/>
          <w:kern w:val="0"/>
          <w:sz w:val="28"/>
          <w:szCs w:val="28"/>
          <w:highlight w:val="none"/>
          <w:lang w:val="zh-CN"/>
        </w:rPr>
      </w:pP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color w:val="000000"/>
          <w:kern w:val="0"/>
          <w:sz w:val="32"/>
          <w:szCs w:val="32"/>
          <w:highlight w:val="none"/>
          <w:lang w:val="zh-CN"/>
        </w:rPr>
      </w:pPr>
      <w:r>
        <w:rPr>
          <w:rFonts w:hint="default" w:ascii="Times New Roman" w:hAnsi="Times New Roman" w:eastAsia="仿宋_GB2312" w:cs="Times New Roman"/>
          <w:b/>
          <w:color w:val="000000"/>
          <w:kern w:val="0"/>
          <w:sz w:val="32"/>
          <w:szCs w:val="32"/>
          <w:highlight w:val="none"/>
          <w:lang w:val="zh-CN"/>
        </w:rPr>
        <w:t>表</w:t>
      </w:r>
      <w:r>
        <w:rPr>
          <w:rFonts w:hint="default" w:ascii="Times New Roman" w:hAnsi="Times New Roman" w:eastAsia="仿宋_GB2312" w:cs="Times New Roman"/>
          <w:b/>
          <w:color w:val="000000"/>
          <w:kern w:val="0"/>
          <w:sz w:val="32"/>
          <w:szCs w:val="32"/>
          <w:highlight w:val="none"/>
          <w:lang w:val="en-US" w:eastAsia="zh-CN"/>
        </w:rPr>
        <w:t>2</w:t>
      </w:r>
      <w:r>
        <w:rPr>
          <w:rFonts w:hint="default" w:ascii="Times New Roman" w:hAnsi="Times New Roman" w:eastAsia="仿宋_GB2312" w:cs="Times New Roman"/>
          <w:b/>
          <w:color w:val="000000"/>
          <w:kern w:val="0"/>
          <w:sz w:val="32"/>
          <w:szCs w:val="32"/>
          <w:highlight w:val="none"/>
          <w:lang w:val="zh-CN"/>
        </w:rPr>
        <w:t>：</w:t>
      </w:r>
      <w:r>
        <w:rPr>
          <w:rFonts w:hint="default" w:ascii="Times New Roman" w:hAnsi="Times New Roman" w:eastAsia="仿宋_GB2312" w:cs="Times New Roman"/>
          <w:b/>
          <w:color w:val="000000"/>
          <w:kern w:val="0"/>
          <w:sz w:val="32"/>
          <w:szCs w:val="32"/>
          <w:highlight w:val="none"/>
        </w:rPr>
        <w:t>绩效</w:t>
      </w:r>
      <w:r>
        <w:rPr>
          <w:rFonts w:hint="default" w:ascii="Times New Roman" w:hAnsi="Times New Roman" w:eastAsia="仿宋_GB2312" w:cs="Times New Roman"/>
          <w:b/>
          <w:color w:val="000000"/>
          <w:kern w:val="0"/>
          <w:sz w:val="32"/>
          <w:szCs w:val="32"/>
          <w:highlight w:val="none"/>
          <w:lang w:val="zh-CN"/>
        </w:rPr>
        <w:t>指标</w:t>
      </w:r>
      <w:r>
        <w:rPr>
          <w:rFonts w:hint="default" w:ascii="Times New Roman" w:hAnsi="Times New Roman" w:eastAsia="仿宋_GB2312" w:cs="Times New Roman"/>
          <w:b/>
          <w:color w:val="000000"/>
          <w:kern w:val="0"/>
          <w:sz w:val="32"/>
          <w:szCs w:val="32"/>
          <w:highlight w:val="none"/>
        </w:rPr>
        <w:t>自评</w:t>
      </w:r>
      <w:r>
        <w:rPr>
          <w:rFonts w:hint="default" w:ascii="Times New Roman" w:hAnsi="Times New Roman" w:eastAsia="仿宋_GB2312" w:cs="Times New Roman"/>
          <w:b/>
          <w:color w:val="000000"/>
          <w:kern w:val="0"/>
          <w:sz w:val="32"/>
          <w:szCs w:val="32"/>
          <w:highlight w:val="none"/>
          <w:lang w:val="zh-CN"/>
        </w:rPr>
        <w:t>得分表</w:t>
      </w:r>
    </w:p>
    <w:tbl>
      <w:tblPr>
        <w:tblStyle w:val="12"/>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381"/>
        <w:gridCol w:w="1676"/>
        <w:gridCol w:w="2781"/>
        <w:gridCol w:w="1071"/>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blHeader/>
          <w:jc w:val="center"/>
        </w:trPr>
        <w:tc>
          <w:tcPr>
            <w:tcW w:w="896"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bookmarkStart w:id="5" w:name="_Toc2236"/>
            <w:r>
              <w:rPr>
                <w:rFonts w:hint="default" w:ascii="Times New Roman" w:hAnsi="Times New Roman" w:eastAsia="黑体" w:cs="Times New Roman"/>
                <w:b w:val="0"/>
                <w:bCs w:val="0"/>
                <w:color w:val="000000"/>
                <w:kern w:val="0"/>
                <w:sz w:val="28"/>
                <w:szCs w:val="28"/>
                <w:highlight w:val="none"/>
              </w:rPr>
              <w:t>一级</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指标</w:t>
            </w:r>
          </w:p>
        </w:tc>
        <w:tc>
          <w:tcPr>
            <w:tcW w:w="1381"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二级</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指标</w:t>
            </w:r>
          </w:p>
        </w:tc>
        <w:tc>
          <w:tcPr>
            <w:tcW w:w="1676"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三级指标</w:t>
            </w:r>
          </w:p>
        </w:tc>
        <w:tc>
          <w:tcPr>
            <w:tcW w:w="2781" w:type="dxa"/>
            <w:tcBorders>
              <w:top w:val="single" w:color="auto" w:sz="4" w:space="0"/>
              <w:left w:val="nil"/>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四级指标</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权重(%)</w:t>
            </w:r>
          </w:p>
        </w:tc>
        <w:tc>
          <w:tcPr>
            <w:tcW w:w="1255" w:type="dxa"/>
            <w:tcBorders>
              <w:top w:val="single" w:color="auto" w:sz="4" w:space="0"/>
              <w:left w:val="single" w:color="auto" w:sz="4" w:space="0"/>
              <w:bottom w:val="single" w:color="auto" w:sz="4" w:space="0"/>
              <w:right w:val="single" w:color="auto" w:sz="4" w:space="0"/>
              <w:tl2br w:val="nil"/>
              <w:tr2bl w:val="nil"/>
            </w:tcBorders>
            <w:shd w:val="clear" w:color="auto" w:fill="FBD4B4"/>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自评</w:t>
            </w:r>
          </w:p>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b w:val="0"/>
                <w:bCs w:val="0"/>
                <w:color w:val="000000"/>
                <w:kern w:val="0"/>
                <w:sz w:val="28"/>
                <w:szCs w:val="28"/>
                <w:highlight w:val="none"/>
              </w:rPr>
            </w:pPr>
            <w:r>
              <w:rPr>
                <w:rFonts w:hint="default" w:ascii="Times New Roman" w:hAnsi="Times New Roman" w:eastAsia="黑体" w:cs="Times New Roman"/>
                <w:b w:val="0"/>
                <w:bCs w:val="0"/>
                <w:color w:val="000000"/>
                <w:kern w:val="0"/>
                <w:sz w:val="28"/>
                <w:szCs w:val="2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734" w:type="dxa"/>
            <w:gridSpan w:val="4"/>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合计</w:t>
            </w:r>
          </w:p>
        </w:tc>
        <w:tc>
          <w:tcPr>
            <w:tcW w:w="1071"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100</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default" w:ascii="Times New Roman" w:hAnsi="Times New Roman" w:eastAsia="仿宋_GB2312" w:cs="Times New Roman"/>
                <w:b w:val="0"/>
                <w:bCs w:val="0"/>
                <w:color w:val="000000"/>
                <w:kern w:val="0"/>
                <w:sz w:val="28"/>
                <w:szCs w:val="28"/>
                <w:highlight w:val="none"/>
                <w:lang w:val="en-US" w:eastAsia="zh-CN"/>
              </w:rPr>
              <w:t>9</w:t>
            </w:r>
            <w:r>
              <w:rPr>
                <w:rFonts w:hint="eastAsia" w:ascii="Times New Roman" w:hAnsi="Times New Roman" w:cs="Times New Roman"/>
                <w:b w:val="0"/>
                <w:bCs w:val="0"/>
                <w:color w:val="000000"/>
                <w:kern w:val="0"/>
                <w:sz w:val="28"/>
                <w:szCs w:val="28"/>
                <w:highlight w:val="none"/>
                <w:lang w:val="en-US" w:eastAsia="zh-CN"/>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896"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投入</w:t>
            </w:r>
          </w:p>
        </w:tc>
        <w:tc>
          <w:tcPr>
            <w:tcW w:w="1381"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项目立项</w:t>
            </w:r>
          </w:p>
        </w:tc>
        <w:tc>
          <w:tcPr>
            <w:tcW w:w="167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论证决策</w:t>
            </w: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论证充分性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4</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目标设置</w:t>
            </w: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完整性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val="0"/>
                <w:bCs w:val="0"/>
                <w:color w:val="000000"/>
                <w:kern w:val="0"/>
                <w:sz w:val="28"/>
                <w:szCs w:val="28"/>
                <w:highlight w:val="none"/>
                <w:lang w:eastAsia="zh-CN"/>
              </w:rPr>
            </w:pPr>
            <w:r>
              <w:rPr>
                <w:rFonts w:hint="eastAsia" w:ascii="Times New Roman" w:hAnsi="Times New Roman" w:cs="Times New Roman"/>
                <w:b w:val="0"/>
                <w:bCs w:val="0"/>
                <w:color w:val="000000"/>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合理性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可衡量性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eastAsia" w:ascii="Times New Roman" w:hAnsi="Times New Roman" w:cs="Times New Roman"/>
                <w:b w:val="0"/>
                <w:bCs w:val="0"/>
                <w:color w:val="000000"/>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保障措施</w:t>
            </w: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 xml:space="preserve"> 制度完整性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1</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bidi="ar-SA"/>
              </w:rPr>
            </w:pPr>
            <w:r>
              <w:rPr>
                <w:rFonts w:hint="default" w:ascii="Times New Roman" w:hAnsi="Times New Roman" w:eastAsia="仿宋_GB2312" w:cs="Times New Roman"/>
                <w:b w:val="0"/>
                <w:bCs w:val="0"/>
                <w:color w:val="000000"/>
                <w:kern w:val="0"/>
                <w:sz w:val="28"/>
                <w:szCs w:val="28"/>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left="501" w:leftChars="69" w:hanging="280" w:hangingChars="100"/>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计划安排合理性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1</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default" w:ascii="Times New Roman" w:hAnsi="Times New Roman" w:eastAsia="仿宋_GB2312" w:cs="Times New Roman"/>
                <w:b w:val="0"/>
                <w:bCs w:val="0"/>
                <w:color w:val="000000"/>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资金落实</w:t>
            </w:r>
          </w:p>
        </w:tc>
        <w:tc>
          <w:tcPr>
            <w:tcW w:w="1676"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资金到位</w:t>
            </w: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资金到位率</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3</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资金到位及时性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资金分配</w:t>
            </w: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资金分配合理性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3</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过程</w:t>
            </w:r>
          </w:p>
        </w:tc>
        <w:tc>
          <w:tcPr>
            <w:tcW w:w="13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资金管理</w:t>
            </w:r>
          </w:p>
        </w:tc>
        <w:tc>
          <w:tcPr>
            <w:tcW w:w="167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资金支付</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资金支出率</w:t>
            </w:r>
          </w:p>
        </w:tc>
        <w:tc>
          <w:tcPr>
            <w:tcW w:w="107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6</w:t>
            </w:r>
          </w:p>
        </w:tc>
        <w:tc>
          <w:tcPr>
            <w:tcW w:w="12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rPr>
            </w:pPr>
            <w:r>
              <w:rPr>
                <w:rFonts w:hint="default" w:ascii="Times New Roman" w:hAnsi="Times New Roman" w:eastAsia="仿宋_GB2312" w:cs="Times New Roman"/>
                <w:b w:val="0"/>
                <w:bCs w:val="0"/>
                <w:color w:val="000000"/>
                <w:kern w:val="0"/>
                <w:sz w:val="28"/>
                <w:szCs w:val="28"/>
                <w:highlight w:val="none"/>
                <w:lang w:val="en-US" w:eastAsia="zh-CN" w:bidi="ar"/>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支出规范性</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支出规范性</w:t>
            </w:r>
          </w:p>
        </w:tc>
        <w:tc>
          <w:tcPr>
            <w:tcW w:w="107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6</w:t>
            </w:r>
          </w:p>
        </w:tc>
        <w:tc>
          <w:tcPr>
            <w:tcW w:w="12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事项管理</w:t>
            </w:r>
          </w:p>
        </w:tc>
        <w:tc>
          <w:tcPr>
            <w:tcW w:w="167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实施程序</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程序规范性</w:t>
            </w:r>
          </w:p>
        </w:tc>
        <w:tc>
          <w:tcPr>
            <w:tcW w:w="107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4</w:t>
            </w:r>
          </w:p>
        </w:tc>
        <w:tc>
          <w:tcPr>
            <w:tcW w:w="12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eastAsia="zh-CN"/>
              </w:rPr>
            </w:pPr>
            <w:r>
              <w:rPr>
                <w:rFonts w:hint="default" w:ascii="Times New Roman" w:hAnsi="Times New Roman" w:eastAsia="仿宋_GB2312" w:cs="Times New Roman"/>
                <w:b w:val="0"/>
                <w:bCs w:val="0"/>
                <w:color w:val="000000"/>
                <w:kern w:val="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管理情况</w:t>
            </w:r>
          </w:p>
        </w:tc>
        <w:tc>
          <w:tcPr>
            <w:tcW w:w="27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监管有效性</w:t>
            </w:r>
          </w:p>
        </w:tc>
        <w:tc>
          <w:tcPr>
            <w:tcW w:w="10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4</w:t>
            </w:r>
          </w:p>
        </w:tc>
        <w:tc>
          <w:tcPr>
            <w:tcW w:w="125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b w:val="0"/>
                <w:bCs w:val="0"/>
                <w:color w:val="000000"/>
                <w:kern w:val="0"/>
                <w:sz w:val="28"/>
                <w:szCs w:val="28"/>
                <w:highlight w:val="none"/>
                <w:lang w:eastAsia="zh-CN"/>
              </w:rPr>
            </w:pPr>
            <w:r>
              <w:rPr>
                <w:rFonts w:hint="eastAsia" w:ascii="Times New Roman" w:hAnsi="Times New Roman" w:cs="Times New Roman"/>
                <w:b w:val="0"/>
                <w:bCs w:val="0"/>
                <w:color w:val="000000"/>
                <w:kern w:val="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89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产出</w:t>
            </w:r>
          </w:p>
        </w:tc>
        <w:tc>
          <w:tcPr>
            <w:tcW w:w="1381"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经济性</w:t>
            </w:r>
          </w:p>
        </w:tc>
        <w:tc>
          <w:tcPr>
            <w:tcW w:w="167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预算控制</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预算控制</w:t>
            </w:r>
          </w:p>
        </w:tc>
        <w:tc>
          <w:tcPr>
            <w:tcW w:w="107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3</w:t>
            </w:r>
          </w:p>
        </w:tc>
        <w:tc>
          <w:tcPr>
            <w:tcW w:w="12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8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成本控制</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成本节约</w:t>
            </w:r>
          </w:p>
        </w:tc>
        <w:tc>
          <w:tcPr>
            <w:tcW w:w="107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c>
          <w:tcPr>
            <w:tcW w:w="12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效率性</w:t>
            </w:r>
          </w:p>
        </w:tc>
        <w:tc>
          <w:tcPr>
            <w:tcW w:w="167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完成进度</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default" w:ascii="Times New Roman" w:hAnsi="Times New Roman" w:eastAsia="仿宋_GB2312" w:cs="Times New Roman"/>
                <w:b w:val="0"/>
                <w:bCs w:val="0"/>
                <w:color w:val="000000"/>
                <w:kern w:val="0"/>
                <w:sz w:val="28"/>
                <w:szCs w:val="28"/>
                <w:vertAlign w:val="baseline"/>
                <w:lang w:val="en-US" w:eastAsia="zh-CN" w:bidi="ar"/>
              </w:rPr>
              <w:t>建立现代化医院管理制度</w:t>
            </w:r>
            <w:r>
              <w:rPr>
                <w:rFonts w:hint="default" w:ascii="Times New Roman" w:hAnsi="Times New Roman" w:eastAsia="仿宋_GB2312" w:cs="Times New Roman"/>
                <w:b w:val="0"/>
                <w:bCs w:val="0"/>
                <w:color w:val="000000"/>
                <w:kern w:val="0"/>
                <w:sz w:val="28"/>
                <w:szCs w:val="28"/>
                <w:lang w:val="en-US" w:eastAsia="zh-CN" w:bidi="ar"/>
              </w:rPr>
              <w:t>等</w:t>
            </w:r>
          </w:p>
        </w:tc>
        <w:tc>
          <w:tcPr>
            <w:tcW w:w="1071" w:type="dxa"/>
            <w:vMerge w:val="restart"/>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25</w:t>
            </w:r>
          </w:p>
        </w:tc>
        <w:tc>
          <w:tcPr>
            <w:tcW w:w="1255"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yellow"/>
                <w:lang w:val="en-US" w:eastAsia="zh-CN"/>
              </w:rPr>
            </w:pPr>
            <w:r>
              <w:rPr>
                <w:rFonts w:hint="default" w:ascii="Times New Roman" w:hAnsi="Times New Roman" w:eastAsia="仿宋_GB2312" w:cs="Times New Roman"/>
                <w:b w:val="0"/>
                <w:bCs w:val="0"/>
                <w:color w:val="000000"/>
                <w:kern w:val="0"/>
                <w:sz w:val="28"/>
                <w:szCs w:val="28"/>
                <w:highlight w:val="none"/>
              </w:rPr>
              <w:t>2</w:t>
            </w:r>
            <w:r>
              <w:rPr>
                <w:rFonts w:hint="eastAsia" w:ascii="Times New Roman" w:hAnsi="Times New Roman" w:cs="Times New Roman"/>
                <w:b w:val="0"/>
                <w:bCs w:val="0"/>
                <w:color w:val="000000"/>
                <w:kern w:val="0"/>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8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完成质量</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000000"/>
                <w:sz w:val="28"/>
                <w:szCs w:val="28"/>
                <w:highlight w:val="none"/>
                <w:lang w:val="en-US"/>
              </w:rPr>
            </w:pPr>
            <w:r>
              <w:rPr>
                <w:rFonts w:hint="default" w:ascii="Times New Roman" w:hAnsi="Times New Roman" w:eastAsia="仿宋_GB2312" w:cs="Times New Roman"/>
                <w:b w:val="0"/>
                <w:bCs w:val="0"/>
                <w:color w:val="auto"/>
                <w:kern w:val="2"/>
                <w:sz w:val="28"/>
                <w:szCs w:val="28"/>
                <w:lang w:val="en-US" w:eastAsia="zh-CN" w:bidi="ar-SA"/>
              </w:rPr>
              <w:t>公立医院</w:t>
            </w:r>
            <w:r>
              <w:rPr>
                <w:rFonts w:hint="default" w:ascii="Times New Roman" w:hAnsi="Times New Roman" w:eastAsia="仿宋_GB2312" w:cs="Times New Roman"/>
                <w:b w:val="0"/>
                <w:bCs w:val="0"/>
                <w:color w:val="000000"/>
                <w:kern w:val="0"/>
                <w:sz w:val="28"/>
                <w:szCs w:val="28"/>
                <w:lang w:val="en-US" w:eastAsia="zh-CN" w:bidi="ar"/>
              </w:rPr>
              <w:t>百元医疗收入（不含药品收入）中卫生耗材消耗（元）等</w:t>
            </w:r>
          </w:p>
        </w:tc>
        <w:tc>
          <w:tcPr>
            <w:tcW w:w="1071"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p>
        </w:tc>
        <w:tc>
          <w:tcPr>
            <w:tcW w:w="1255"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96"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default" w:ascii="Times New Roman" w:hAnsi="Times New Roman" w:eastAsia="仿宋_GB2312" w:cs="Times New Roman"/>
                <w:b w:val="0"/>
                <w:bCs w:val="0"/>
                <w:color w:val="000000"/>
                <w:kern w:val="0"/>
                <w:sz w:val="28"/>
                <w:szCs w:val="28"/>
                <w:highlight w:val="none"/>
                <w:lang w:val="en-US" w:eastAsia="zh-CN"/>
              </w:rPr>
              <w:t>效益</w:t>
            </w:r>
          </w:p>
        </w:tc>
        <w:tc>
          <w:tcPr>
            <w:tcW w:w="1381"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default" w:ascii="Times New Roman" w:hAnsi="Times New Roman" w:eastAsia="仿宋_GB2312" w:cs="Times New Roman"/>
                <w:b w:val="0"/>
                <w:bCs w:val="0"/>
                <w:color w:val="000000"/>
                <w:kern w:val="0"/>
                <w:sz w:val="28"/>
                <w:szCs w:val="28"/>
                <w:highlight w:val="none"/>
                <w:lang w:val="en-US" w:eastAsia="zh-CN"/>
              </w:rPr>
              <w:t>效果性</w:t>
            </w:r>
          </w:p>
        </w:tc>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rPr>
              <w:t>社会效益</w:t>
            </w:r>
          </w:p>
        </w:tc>
        <w:tc>
          <w:tcPr>
            <w:tcW w:w="2781" w:type="dxa"/>
            <w:tcBorders>
              <w:top w:val="single" w:color="auto" w:sz="4" w:space="0"/>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lang w:val="en-US" w:eastAsia="zh-CN" w:bidi="ar"/>
              </w:rPr>
              <w:t>区域医疗费用增长幅度（%）</w:t>
            </w:r>
            <w:r>
              <w:rPr>
                <w:rFonts w:hint="default" w:ascii="Times New Roman" w:hAnsi="Times New Roman" w:eastAsia="仿宋_GB2312" w:cs="Times New Roman"/>
                <w:b w:val="0"/>
                <w:bCs w:val="0"/>
                <w:color w:val="000000"/>
                <w:sz w:val="28"/>
                <w:szCs w:val="28"/>
                <w:highlight w:val="none"/>
              </w:rPr>
              <w:t>等</w:t>
            </w:r>
          </w:p>
        </w:tc>
        <w:tc>
          <w:tcPr>
            <w:tcW w:w="1071" w:type="dxa"/>
            <w:vMerge w:val="restart"/>
            <w:tcBorders>
              <w:left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default" w:ascii="Times New Roman" w:hAnsi="Times New Roman" w:eastAsia="仿宋_GB2312" w:cs="Times New Roman"/>
                <w:b w:val="0"/>
                <w:bCs w:val="0"/>
                <w:color w:val="000000"/>
                <w:kern w:val="0"/>
                <w:sz w:val="28"/>
                <w:szCs w:val="28"/>
                <w:highlight w:val="none"/>
                <w:lang w:val="en-US" w:eastAsia="zh-CN"/>
              </w:rPr>
              <w:t>25</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p>
        </w:tc>
        <w:tc>
          <w:tcPr>
            <w:tcW w:w="1255" w:type="dxa"/>
            <w:vMerge w:val="restart"/>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rPr>
            </w:pPr>
            <w:r>
              <w:rPr>
                <w:rFonts w:hint="default" w:ascii="Times New Roman" w:hAnsi="Times New Roman" w:eastAsia="仿宋_GB2312" w:cs="Times New Roman"/>
                <w:b w:val="0"/>
                <w:bCs w:val="0"/>
                <w:color w:val="000000"/>
                <w:kern w:val="0"/>
                <w:sz w:val="28"/>
                <w:szCs w:val="28"/>
                <w:lang w:val="en-US" w:eastAsia="zh-CN" w:bidi="ar"/>
              </w:rPr>
              <w:t>2</w:t>
            </w:r>
            <w:r>
              <w:rPr>
                <w:rFonts w:hint="eastAsia" w:ascii="Times New Roman" w:hAnsi="Times New Roman" w:cs="Times New Roman"/>
                <w:b w:val="0"/>
                <w:bCs w:val="0"/>
                <w:color w:val="000000"/>
                <w:kern w:val="0"/>
                <w:sz w:val="28"/>
                <w:szCs w:val="28"/>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896"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lang w:val="en-US" w:eastAsia="zh-CN"/>
              </w:rPr>
            </w:pPr>
          </w:p>
        </w:tc>
        <w:tc>
          <w:tcPr>
            <w:tcW w:w="1381" w:type="dxa"/>
            <w:vMerge w:val="continue"/>
            <w:tcBorders>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lang w:val="en-US" w:eastAsia="zh-CN"/>
              </w:rPr>
            </w:pPr>
          </w:p>
        </w:tc>
        <w:tc>
          <w:tcPr>
            <w:tcW w:w="1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r>
              <w:rPr>
                <w:rFonts w:hint="default" w:ascii="Times New Roman" w:hAnsi="Times New Roman" w:eastAsia="仿宋_GB2312" w:cs="Times New Roman"/>
                <w:b w:val="0"/>
                <w:bCs w:val="0"/>
                <w:color w:val="000000"/>
                <w:kern w:val="0"/>
                <w:sz w:val="28"/>
                <w:szCs w:val="28"/>
                <w:highlight w:val="none"/>
                <w:lang w:val="en-US" w:eastAsia="zh-CN"/>
              </w:rPr>
              <w:t>可持续影响</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val="0"/>
                <w:bCs w:val="0"/>
                <w:color w:val="000000"/>
                <w:kern w:val="0"/>
                <w:sz w:val="28"/>
                <w:szCs w:val="28"/>
                <w:lang w:val="en-US" w:eastAsia="zh-CN" w:bidi="ar"/>
              </w:rPr>
            </w:pPr>
            <w:r>
              <w:rPr>
                <w:rFonts w:hint="default" w:ascii="Times New Roman" w:hAnsi="Times New Roman" w:eastAsia="仿宋_GB2312" w:cs="Times New Roman"/>
                <w:b w:val="0"/>
                <w:bCs w:val="0"/>
                <w:color w:val="000000"/>
                <w:kern w:val="0"/>
                <w:sz w:val="28"/>
                <w:szCs w:val="28"/>
                <w:lang w:val="en-US" w:eastAsia="zh-CN" w:bidi="ar"/>
              </w:rPr>
              <w:t>个人卫生支出占卫生总费用的比重（%）</w:t>
            </w:r>
          </w:p>
        </w:tc>
        <w:tc>
          <w:tcPr>
            <w:tcW w:w="1071" w:type="dxa"/>
            <w:vMerge w:val="continue"/>
            <w:tcBorders>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rPr>
            </w:pPr>
          </w:p>
        </w:tc>
        <w:tc>
          <w:tcPr>
            <w:tcW w:w="1255"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96"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b w:val="0"/>
                <w:bCs w:val="0"/>
                <w:color w:val="000000"/>
                <w:kern w:val="0"/>
                <w:sz w:val="28"/>
                <w:szCs w:val="28"/>
                <w:highlight w:val="none"/>
              </w:rPr>
            </w:pPr>
          </w:p>
        </w:tc>
        <w:tc>
          <w:tcPr>
            <w:tcW w:w="1381" w:type="dxa"/>
            <w:tcBorders>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eastAsia" w:ascii="Times New Roman" w:hAnsi="Times New Roman" w:cs="Times New Roman"/>
                <w:b w:val="0"/>
                <w:bCs w:val="0"/>
                <w:color w:val="000000"/>
                <w:kern w:val="0"/>
                <w:sz w:val="28"/>
                <w:szCs w:val="28"/>
                <w:highlight w:val="none"/>
                <w:lang w:val="en-US" w:eastAsia="zh-CN"/>
              </w:rPr>
              <w:t xml:space="preserve">公平性  </w:t>
            </w:r>
          </w:p>
        </w:tc>
        <w:tc>
          <w:tcPr>
            <w:tcW w:w="167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eastAsia" w:ascii="Times New Roman" w:hAnsi="Times New Roman" w:cs="Times New Roman"/>
                <w:b w:val="0"/>
                <w:bCs w:val="0"/>
                <w:color w:val="000000"/>
                <w:kern w:val="0"/>
                <w:sz w:val="28"/>
                <w:szCs w:val="28"/>
                <w:highlight w:val="none"/>
                <w:lang w:val="en-US" w:eastAsia="zh-CN"/>
              </w:rPr>
              <w:t>满意度</w:t>
            </w:r>
          </w:p>
        </w:tc>
        <w:tc>
          <w:tcPr>
            <w:tcW w:w="278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Times New Roman" w:hAnsi="Times New Roman" w:eastAsia="仿宋_GB2312" w:cs="Times New Roman"/>
                <w:b w:val="0"/>
                <w:bCs w:val="0"/>
                <w:color w:val="000000"/>
                <w:kern w:val="0"/>
                <w:sz w:val="28"/>
                <w:szCs w:val="28"/>
                <w:highlight w:val="none"/>
                <w:lang w:eastAsia="zh-CN"/>
              </w:rPr>
            </w:pPr>
            <w:r>
              <w:rPr>
                <w:rFonts w:hint="eastAsia" w:ascii="Times New Roman" w:hAnsi="Times New Roman" w:cs="Times New Roman"/>
                <w:b w:val="0"/>
                <w:bCs w:val="0"/>
                <w:color w:val="000000"/>
                <w:kern w:val="0"/>
                <w:sz w:val="28"/>
                <w:szCs w:val="28"/>
                <w:highlight w:val="none"/>
                <w:lang w:eastAsia="zh-CN"/>
              </w:rPr>
              <w:t>服务对象满意度</w:t>
            </w:r>
          </w:p>
        </w:tc>
        <w:tc>
          <w:tcPr>
            <w:tcW w:w="1071"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仿宋_GB2312" w:cs="Times New Roman"/>
                <w:b w:val="0"/>
                <w:bCs w:val="0"/>
                <w:color w:val="000000"/>
                <w:kern w:val="0"/>
                <w:sz w:val="28"/>
                <w:szCs w:val="28"/>
                <w:highlight w:val="none"/>
                <w:lang w:val="en-US" w:eastAsia="zh-CN"/>
              </w:rPr>
            </w:pPr>
            <w:r>
              <w:rPr>
                <w:rFonts w:hint="eastAsia" w:ascii="Times New Roman" w:hAnsi="Times New Roman" w:cs="Times New Roman"/>
                <w:b w:val="0"/>
                <w:bCs w:val="0"/>
                <w:color w:val="000000"/>
                <w:kern w:val="0"/>
                <w:sz w:val="28"/>
                <w:szCs w:val="28"/>
                <w:highlight w:val="none"/>
                <w:lang w:val="en-US" w:eastAsia="zh-CN"/>
              </w:rPr>
              <w:t>5</w:t>
            </w:r>
          </w:p>
        </w:tc>
        <w:tc>
          <w:tcPr>
            <w:tcW w:w="12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 w:val="0"/>
                <w:bCs w:val="0"/>
                <w:color w:val="000000"/>
                <w:kern w:val="0"/>
                <w:sz w:val="28"/>
                <w:szCs w:val="28"/>
                <w:highlight w:val="none"/>
                <w:lang w:val="en-US" w:eastAsia="zh-CN"/>
              </w:rPr>
            </w:pPr>
            <w:r>
              <w:rPr>
                <w:rFonts w:hint="eastAsia" w:ascii="Times New Roman" w:hAnsi="Times New Roman" w:cs="Times New Roman"/>
                <w:b w:val="0"/>
                <w:bCs w:val="0"/>
                <w:color w:val="000000"/>
                <w:kern w:val="0"/>
                <w:sz w:val="28"/>
                <w:szCs w:val="28"/>
                <w:highlight w:val="none"/>
                <w:lang w:val="en-US" w:eastAsia="zh-CN"/>
              </w:rPr>
              <w:t>5</w:t>
            </w:r>
          </w:p>
        </w:tc>
      </w:tr>
    </w:tbl>
    <w:p>
      <w:pPr>
        <w:pStyle w:val="4"/>
        <w:spacing w:beforeLines="0" w:afterLines="0" w:line="560" w:lineRule="exact"/>
        <w:ind w:firstLine="640" w:firstLineChars="200"/>
        <w:rPr>
          <w:rFonts w:hint="default"/>
          <w:lang w:eastAsia="zh-CN"/>
        </w:rPr>
      </w:pPr>
      <w:r>
        <w:rPr>
          <w:rFonts w:hint="default" w:ascii="Times New Roman" w:hAnsi="Times New Roman" w:eastAsia="楷体_GB2312" w:cs="Times New Roman"/>
          <w:b w:val="0"/>
          <w:bCs/>
        </w:rPr>
        <w:t>（二）专项资金使用绩效</w:t>
      </w:r>
      <w:bookmarkEnd w:id="5"/>
      <w:r>
        <w:rPr>
          <w:rFonts w:hint="default" w:ascii="Times New Roman" w:hAnsi="Times New Roman" w:eastAsia="楷体_GB2312" w:cs="Times New Roman"/>
          <w:b w:val="0"/>
          <w:bCs/>
          <w:lang w:eastAsia="zh-CN"/>
        </w:rPr>
        <w:t>。</w:t>
      </w:r>
    </w:p>
    <w:p>
      <w:pPr>
        <w:pageBreakBefore w:val="0"/>
        <w:widowControl w:val="0"/>
        <w:kinsoku/>
        <w:wordWrap/>
        <w:overflowPunct/>
        <w:topLinePunct w:val="0"/>
        <w:autoSpaceDE/>
        <w:autoSpaceDN/>
        <w:bidi w:val="0"/>
        <w:adjustRightInd/>
        <w:snapToGrid w:val="0"/>
        <w:spacing w:line="560" w:lineRule="exact"/>
        <w:ind w:firstLine="643"/>
        <w:rPr>
          <w:rFonts w:hint="default" w:ascii="Times New Roman" w:hAnsi="Times New Roman" w:eastAsia="仿宋_GB2312" w:cs="Times New Roman"/>
          <w:kern w:val="2"/>
          <w:sz w:val="32"/>
          <w:szCs w:val="32"/>
          <w:highlight w:val="yellow"/>
          <w:lang w:val="en-US" w:eastAsia="zh-CN" w:bidi="ar-SA"/>
        </w:rPr>
      </w:pPr>
      <w:r>
        <w:rPr>
          <w:rFonts w:hint="default" w:ascii="Times New Roman" w:hAnsi="Times New Roman" w:eastAsia="仿宋_GB2312" w:cs="Times New Roman"/>
          <w:b/>
          <w:bCs/>
          <w:sz w:val="32"/>
          <w:szCs w:val="32"/>
        </w:rPr>
        <w:t>1.专项资金支出情况。</w:t>
      </w:r>
      <w:r>
        <w:rPr>
          <w:rFonts w:hint="default" w:ascii="Times New Roman" w:hAnsi="Times New Roman" w:eastAsia="仿宋_GB2312" w:cs="Times New Roman"/>
          <w:b w:val="0"/>
          <w:bCs/>
          <w:i w:val="0"/>
          <w:color w:val="auto"/>
          <w:kern w:val="0"/>
          <w:sz w:val="32"/>
          <w:szCs w:val="32"/>
          <w:u w:val="none"/>
          <w:lang w:val="en-US" w:eastAsia="zh-CN" w:bidi="ar"/>
        </w:rPr>
        <w:t>2019年，</w:t>
      </w:r>
      <w:r>
        <w:rPr>
          <w:rFonts w:hint="default" w:ascii="Times New Roman" w:hAnsi="Times New Roman" w:eastAsia="仿宋_GB2312" w:cs="Times New Roman"/>
          <w:b w:val="0"/>
          <w:bCs w:val="0"/>
          <w:sz w:val="32"/>
          <w:szCs w:val="32"/>
        </w:rPr>
        <w:t>健全现代医院管理制度</w:t>
      </w:r>
      <w:r>
        <w:rPr>
          <w:rFonts w:hint="default" w:ascii="Times New Roman" w:hAnsi="Times New Roman" w:eastAsia="仿宋_GB2312" w:cs="Times New Roman"/>
          <w:b w:val="0"/>
          <w:bCs w:val="0"/>
          <w:i w:val="0"/>
          <w:color w:val="auto"/>
          <w:kern w:val="0"/>
          <w:sz w:val="32"/>
          <w:szCs w:val="32"/>
          <w:u w:val="none"/>
          <w:lang w:val="en-US" w:eastAsia="zh-CN" w:bidi="ar"/>
        </w:rPr>
        <w:t>财政事权</w:t>
      </w:r>
      <w:r>
        <w:rPr>
          <w:rFonts w:hint="default" w:ascii="Times New Roman" w:hAnsi="Times New Roman" w:eastAsia="仿宋_GB2312" w:cs="Times New Roman"/>
          <w:b w:val="0"/>
          <w:bCs/>
          <w:i w:val="0"/>
          <w:color w:val="auto"/>
          <w:kern w:val="0"/>
          <w:sz w:val="32"/>
          <w:szCs w:val="32"/>
          <w:u w:val="none"/>
          <w:lang w:val="en-US" w:eastAsia="zh-CN" w:bidi="ar"/>
        </w:rPr>
        <w:t>实际到位资金509774.50万元，到位率100%。</w:t>
      </w:r>
      <w:r>
        <w:rPr>
          <w:rFonts w:hint="default" w:ascii="Times New Roman" w:hAnsi="Times New Roman" w:eastAsia="仿宋_GB2312" w:cs="Times New Roman"/>
          <w:sz w:val="32"/>
          <w:szCs w:val="32"/>
          <w:lang w:val="en-US" w:eastAsia="zh-CN"/>
        </w:rPr>
        <w:t>截至2020年3月31日，项目</w:t>
      </w:r>
      <w:r>
        <w:rPr>
          <w:rFonts w:hint="default" w:ascii="Times New Roman" w:hAnsi="Times New Roman" w:eastAsia="仿宋_GB2312" w:cs="Times New Roman"/>
          <w:b w:val="0"/>
          <w:bCs/>
          <w:i w:val="0"/>
          <w:color w:val="auto"/>
          <w:kern w:val="0"/>
          <w:sz w:val="32"/>
          <w:szCs w:val="32"/>
          <w:u w:val="none"/>
          <w:lang w:val="en-US" w:eastAsia="zh-CN" w:bidi="ar"/>
        </w:rPr>
        <w:t>资金实际支出</w:t>
      </w:r>
      <w:r>
        <w:rPr>
          <w:rFonts w:hint="default" w:ascii="Times New Roman" w:hAnsi="Times New Roman" w:eastAsia="仿宋_GB2312" w:cs="Times New Roman"/>
          <w:sz w:val="32"/>
          <w:szCs w:val="32"/>
          <w:lang w:val="en-US" w:eastAsia="zh-CN"/>
        </w:rPr>
        <w:t>60180.5</w:t>
      </w:r>
      <w:r>
        <w:rPr>
          <w:rFonts w:hint="default" w:ascii="Times New Roman" w:hAnsi="Times New Roman" w:eastAsia="仿宋_GB2312" w:cs="Times New Roman"/>
          <w:b w:val="0"/>
          <w:bCs/>
          <w:i w:val="0"/>
          <w:color w:val="auto"/>
          <w:kern w:val="0"/>
          <w:sz w:val="32"/>
          <w:szCs w:val="32"/>
          <w:highlight w:val="none"/>
          <w:u w:val="none"/>
          <w:lang w:val="en-US" w:eastAsia="zh-CN" w:bidi="ar"/>
        </w:rPr>
        <w:t>万元（高水平医院建设420000万元由建设医院自主预算管理，预算执行不纳入考核），支出率67.04%。其中，</w:t>
      </w:r>
      <w:r>
        <w:rPr>
          <w:rFonts w:hint="default" w:ascii="Times New Roman" w:hAnsi="Times New Roman" w:eastAsia="仿宋_GB2312" w:cs="Times New Roman"/>
          <w:i w:val="0"/>
          <w:color w:val="auto"/>
          <w:kern w:val="0"/>
          <w:sz w:val="32"/>
          <w:szCs w:val="32"/>
          <w:highlight w:val="none"/>
          <w:u w:val="none"/>
          <w:lang w:val="en-US" w:eastAsia="zh-CN" w:bidi="ar"/>
        </w:rPr>
        <w:t>公立医院取消药品加成财政补偿专项</w:t>
      </w:r>
      <w:r>
        <w:rPr>
          <w:rFonts w:hint="default" w:ascii="Times New Roman" w:hAnsi="Times New Roman" w:eastAsia="仿宋_GB2312" w:cs="Times New Roman"/>
          <w:sz w:val="32"/>
          <w:szCs w:val="32"/>
          <w:highlight w:val="none"/>
          <w:lang w:val="en-US" w:eastAsia="zh-CN"/>
        </w:rPr>
        <w:t>支出</w:t>
      </w:r>
      <w:r>
        <w:rPr>
          <w:rFonts w:hint="default" w:ascii="Times New Roman" w:hAnsi="Times New Roman" w:eastAsia="仿宋_GB2312" w:cs="Times New Roman"/>
          <w:i w:val="0"/>
          <w:color w:val="auto"/>
          <w:kern w:val="0"/>
          <w:sz w:val="32"/>
          <w:szCs w:val="32"/>
          <w:highlight w:val="none"/>
          <w:u w:val="none"/>
          <w:lang w:val="en-US" w:eastAsia="zh-CN" w:bidi="ar"/>
        </w:rPr>
        <w:t>39774.50万元</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i w:val="0"/>
          <w:color w:val="auto"/>
          <w:kern w:val="0"/>
          <w:sz w:val="32"/>
          <w:szCs w:val="32"/>
          <w:highlight w:val="none"/>
          <w:u w:val="none"/>
          <w:lang w:val="en-US" w:eastAsia="zh-CN" w:bidi="ar"/>
        </w:rPr>
        <w:t>资金支出率100%；</w:t>
      </w:r>
      <w:r>
        <w:rPr>
          <w:rFonts w:hint="default" w:ascii="Times New Roman" w:hAnsi="Times New Roman" w:eastAsia="仿宋_GB2312" w:cs="Times New Roman"/>
          <w:i w:val="0"/>
          <w:color w:val="auto"/>
          <w:kern w:val="0"/>
          <w:sz w:val="32"/>
          <w:szCs w:val="32"/>
          <w:highlight w:val="none"/>
          <w:u w:val="none"/>
          <w:lang w:val="en-US" w:eastAsia="zh-CN" w:bidi="ar"/>
        </w:rPr>
        <w:t>广州呼吸中心建设项目完成</w:t>
      </w:r>
      <w:r>
        <w:rPr>
          <w:rFonts w:hint="default" w:ascii="Times New Roman" w:hAnsi="Times New Roman" w:eastAsia="仿宋_GB2312" w:cs="Times New Roman"/>
          <w:color w:val="000000"/>
          <w:sz w:val="32"/>
          <w:szCs w:val="32"/>
          <w:highlight w:val="none"/>
        </w:rPr>
        <w:t>投资</w:t>
      </w:r>
      <w:r>
        <w:rPr>
          <w:rFonts w:hint="default" w:ascii="Times New Roman" w:hAnsi="Times New Roman" w:eastAsia="仿宋_GB2312" w:cs="Times New Roman"/>
          <w:color w:val="000000"/>
          <w:sz w:val="32"/>
          <w:szCs w:val="32"/>
          <w:highlight w:val="none"/>
          <w:lang w:val="en-US" w:eastAsia="zh-CN"/>
        </w:rPr>
        <w:t>支出18120</w:t>
      </w:r>
      <w:r>
        <w:rPr>
          <w:rFonts w:hint="default" w:ascii="Times New Roman" w:hAnsi="Times New Roman" w:eastAsia="仿宋_GB2312" w:cs="Times New Roman"/>
          <w:color w:val="000000"/>
          <w:sz w:val="32"/>
          <w:szCs w:val="32"/>
          <w:highlight w:val="none"/>
        </w:rPr>
        <w:t>万元</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支出率45.3%</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中山大学肿瘤防治中心国家肿瘤医学中心建设专项支出</w:t>
      </w:r>
      <w:r>
        <w:rPr>
          <w:rFonts w:hint="default" w:ascii="Times New Roman" w:hAnsi="Times New Roman" w:eastAsia="仿宋_GB2312" w:cs="Times New Roman"/>
          <w:b w:val="0"/>
          <w:bCs w:val="0"/>
          <w:sz w:val="32"/>
          <w:szCs w:val="32"/>
          <w:highlight w:val="none"/>
        </w:rPr>
        <w:t>2286</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万元，支出率22.86%。</w:t>
      </w:r>
      <w:r>
        <w:rPr>
          <w:rFonts w:hint="default" w:ascii="Times New Roman" w:hAnsi="Times New Roman" w:eastAsia="仿宋_GB2312" w:cs="Times New Roman"/>
          <w:b w:val="0"/>
          <w:bCs/>
          <w:i w:val="0"/>
          <w:color w:val="auto"/>
          <w:kern w:val="0"/>
          <w:sz w:val="32"/>
          <w:szCs w:val="32"/>
          <w:highlight w:val="none"/>
          <w:u w:val="none"/>
          <w:lang w:val="en-US" w:eastAsia="zh-CN" w:bidi="ar"/>
        </w:rPr>
        <w:t>另外，</w:t>
      </w:r>
      <w:r>
        <w:rPr>
          <w:rFonts w:hint="default" w:ascii="Times New Roman" w:hAnsi="Times New Roman" w:eastAsia="仿宋_GB2312" w:cs="Times New Roman"/>
          <w:color w:val="000000"/>
          <w:sz w:val="32"/>
          <w:szCs w:val="32"/>
          <w:highlight w:val="none"/>
          <w:lang w:val="en-US" w:eastAsia="zh-CN"/>
        </w:rPr>
        <w:t>高水平医院建设</w:t>
      </w:r>
      <w:r>
        <w:rPr>
          <w:rFonts w:hint="default" w:ascii="Times New Roman" w:hAnsi="Times New Roman" w:eastAsia="仿宋_GB2312" w:cs="Times New Roman"/>
          <w:color w:val="000000"/>
          <w:sz w:val="32"/>
          <w:szCs w:val="32"/>
          <w:highlight w:val="none"/>
          <w:lang w:eastAsia="zh-CN"/>
        </w:rPr>
        <w:t>项目资金</w:t>
      </w:r>
      <w:r>
        <w:rPr>
          <w:rFonts w:hint="default" w:ascii="Times New Roman" w:hAnsi="Times New Roman" w:eastAsia="仿宋_GB2312" w:cs="Times New Roman"/>
          <w:b w:val="0"/>
          <w:bCs/>
          <w:i w:val="0"/>
          <w:color w:val="auto"/>
          <w:kern w:val="0"/>
          <w:sz w:val="32"/>
          <w:szCs w:val="32"/>
          <w:highlight w:val="none"/>
          <w:u w:val="none"/>
          <w:lang w:val="en-US" w:eastAsia="zh-CN" w:bidi="ar"/>
        </w:rPr>
        <w:t>支出</w:t>
      </w:r>
      <w:r>
        <w:rPr>
          <w:rFonts w:hint="default" w:ascii="Times New Roman" w:hAnsi="Times New Roman" w:eastAsia="仿宋_GB2312" w:cs="Times New Roman"/>
          <w:b w:val="0"/>
          <w:bCs/>
          <w:i w:val="0"/>
          <w:color w:val="000000"/>
          <w:kern w:val="0"/>
          <w:sz w:val="32"/>
          <w:szCs w:val="32"/>
          <w:highlight w:val="none"/>
          <w:u w:val="none"/>
          <w:lang w:val="en-US" w:eastAsia="zh-CN" w:bidi="ar"/>
        </w:rPr>
        <w:t>180798.12</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支出率43.05%</w:t>
      </w:r>
      <w:r>
        <w:rPr>
          <w:rFonts w:hint="default" w:ascii="Times New Roman" w:hAnsi="Times New Roman" w:eastAsia="仿宋_GB2312" w:cs="Times New Roman"/>
          <w:sz w:val="32"/>
          <w:szCs w:val="32"/>
          <w:highlight w:val="none"/>
          <w:lang w:eastAsia="zh-CN"/>
        </w:rPr>
        <w:t>，具体</w:t>
      </w:r>
      <w:r>
        <w:rPr>
          <w:rFonts w:hint="default" w:ascii="Times New Roman" w:hAnsi="Times New Roman" w:eastAsia="仿宋_GB2312" w:cs="Times New Roman"/>
          <w:sz w:val="32"/>
          <w:szCs w:val="32"/>
          <w:highlight w:val="none"/>
          <w:lang w:val="en-US" w:eastAsia="zh-CN"/>
        </w:rPr>
        <w:t>见表3</w:t>
      </w:r>
      <w:r>
        <w:rPr>
          <w:rFonts w:hint="default" w:ascii="Times New Roman" w:hAnsi="Times New Roman" w:eastAsia="仿宋_GB2312" w:cs="Times New Roman"/>
          <w:sz w:val="32"/>
          <w:szCs w:val="32"/>
          <w:highlight w:val="none"/>
          <w:lang w:eastAsia="zh-CN"/>
        </w:rPr>
        <w:t>。</w:t>
      </w:r>
    </w:p>
    <w:p>
      <w:pPr>
        <w:pStyle w:val="15"/>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textAlignment w:val="auto"/>
        <w:rPr>
          <w:rFonts w:hint="default" w:ascii="Times New Roman" w:hAnsi="Times New Roman" w:eastAsia="仿宋_GB2312" w:cs="Times New Roman"/>
          <w:b/>
          <w:bCs/>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0" w:beforeLines="0" w:after="157" w:afterLines="50" w:line="420" w:lineRule="exact"/>
        <w:ind w:firstLine="0" w:firstLineChars="0"/>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表3：30家高水平医院专项支出统计表</w:t>
      </w:r>
    </w:p>
    <w:tbl>
      <w:tblPr>
        <w:tblStyle w:val="12"/>
        <w:tblW w:w="8868" w:type="dxa"/>
        <w:jc w:val="center"/>
        <w:tblInd w:w="0" w:type="dxa"/>
        <w:tblLayout w:type="fixed"/>
        <w:tblCellMar>
          <w:top w:w="0" w:type="dxa"/>
          <w:left w:w="0" w:type="dxa"/>
          <w:bottom w:w="0" w:type="dxa"/>
          <w:right w:w="0" w:type="dxa"/>
        </w:tblCellMar>
      </w:tblPr>
      <w:tblGrid>
        <w:gridCol w:w="1225"/>
        <w:gridCol w:w="1126"/>
        <w:gridCol w:w="717"/>
        <w:gridCol w:w="1144"/>
        <w:gridCol w:w="730"/>
        <w:gridCol w:w="1143"/>
        <w:gridCol w:w="799"/>
        <w:gridCol w:w="1240"/>
        <w:gridCol w:w="744"/>
      </w:tblGrid>
      <w:tr>
        <w:tblPrEx>
          <w:tblLayout w:type="fixed"/>
          <w:tblCellMar>
            <w:top w:w="0" w:type="dxa"/>
            <w:left w:w="0" w:type="dxa"/>
            <w:bottom w:w="0" w:type="dxa"/>
            <w:right w:w="0" w:type="dxa"/>
          </w:tblCellMar>
        </w:tblPrEx>
        <w:trPr>
          <w:trHeight w:val="377" w:hRule="atLeast"/>
          <w:tblHeader/>
          <w:jc w:val="center"/>
        </w:trPr>
        <w:tc>
          <w:tcPr>
            <w:tcW w:w="122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righ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sz w:val="24"/>
                <w:szCs w:val="24"/>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-25400</wp:posOffset>
                      </wp:positionV>
                      <wp:extent cx="838200" cy="495300"/>
                      <wp:effectExtent l="2540" t="3810" r="16510" b="15240"/>
                      <wp:wrapNone/>
                      <wp:docPr id="4" name="直接连接符 4"/>
                      <wp:cNvGraphicFramePr/>
                      <a:graphic xmlns:a="http://schemas.openxmlformats.org/drawingml/2006/main">
                        <a:graphicData uri="http://schemas.microsoft.com/office/word/2010/wordprocessingShape">
                          <wps:wsp>
                            <wps:cNvCnPr/>
                            <wps:spPr>
                              <a:xfrm>
                                <a:off x="1136650" y="2371090"/>
                                <a:ext cx="838200" cy="49530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0.5pt;margin-top:-2pt;height:39pt;width:66pt;z-index:251658240;mso-width-relative:page;mso-height-relative:page;" filled="f" stroked="t" coordsize="21600,21600" o:gfxdata="UEsDBAoAAAAAAIdO4kAAAAAAAAAAAAAAAAAEAAAAZHJzL1BLAwQUAAAACACHTuJAtS3uaNMAAAAI&#10;AQAADwAAAGRycy9kb3ducmV2LnhtbE1Py07DMBC8I/EP1iJxqVo7LQIU4vQA5MaFFsR1Gy9JRLxO&#10;Y/cBX8/mBKfRzoxmZ4r12ffqSGPsAlvIFgYUcR1cx42Ft201vwcVE7LDPjBZ+KYI6/LyosDchRO/&#10;0nGTGiUhHHO00KY05FrHuiWPcREGYtE+w+gxyTk22o14knDf66Uxt9pjx/KhxYEeW6q/NgdvIVbv&#10;tK9+ZvXMfKyaQMv908szWnt9lZkHUInO6c8MU32pDqV02oUDu6h6C/NMpiTBG8FJX03EzsKdELos&#10;9P8B5S9QSwMEFAAAAAgAh07iQF7YagLqAQAAowMAAA4AAABkcnMvZTJvRG9jLnhtbK1TzY7TMBC+&#10;I/EOlu80SduUNmq6h62WCz+VgAeYOk5iyX+yTdO+BC+AxA1OHLnzNiyPwdjJLgvcEDlMZsbjz/6+&#10;fNlenZUkJ+68MLqmxSynhGtmGqG7mr59c/NkTYkPoBuQRvOaXrinV7vHj7aDrfjc9EY23BEE0b4a&#10;bE37EGyVZZ71XIGfGcs1LrbGKQhYui5rHAyIrmQ2z/NVNhjXWGcY9x67+3GR7hJ+23IWXrWt54HI&#10;muLdQoouxWOM2W4LVefA9oJN14B/uIUCofHQe6g9BCDvnPgLSgnmjDdtmDGjMtO2gvHEAdkU+R9s&#10;XvdgeeKC4nh7L5P/f7Ds5engiGhquqREg8JPdPvh6/f3n358+4jx9stnsowiDdZXOHutD26qvD24&#10;yPjcOhXfyIWc0QLFYrUqUepLTeeLp0W+mUTm50AYDqwXa/xwlDAcWG7KBeaImP0Css6HZ9woEpOa&#10;SqGjBlDB6bkP4+jdSGxrcyOkxD5UUpOhpptyXiI8oJtaCQFTZZGf1x0lIDu0KQsuIXojRRN3x83e&#10;dcdr6cgJolXSMw710PCxuymxPVrGQ3hhmrFd5Hd9ZDHBJEa/4cc778H34560NBGXOp7Pk1snilHu&#10;UeCYHU1zSbpnsUInJPTJtdFqD2vMH/5bu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Le5o0wAA&#10;AAgBAAAPAAAAAAAAAAEAIAAAACIAAABkcnMvZG93bnJldi54bWxQSwECFAAUAAAACACHTuJAXthq&#10;AuoBAACjAwAADgAAAAAAAAABACAAAAAiAQAAZHJzL2Uyb0RvYy54bWxQSwUGAAAAAAYABgBZAQAA&#10;fgUAAAAA&#10;">
                      <v:path arrowok="t"/>
                      <v:fill on="f" focussize="0,0"/>
                      <v:stroke joinstyle="round"/>
                      <v:imagedata o:title=""/>
                      <o:lock v:ext="edit" aspectratio="f"/>
                    </v:line>
                  </w:pict>
                </mc:Fallback>
              </mc:AlternateContent>
            </w:r>
            <w:r>
              <w:rPr>
                <w:rFonts w:hint="default" w:ascii="Times New Roman" w:hAnsi="Times New Roman" w:eastAsia="仿宋_GB2312" w:cs="Times New Roman"/>
                <w:b w:val="0"/>
                <w:bCs w:val="0"/>
                <w:i w:val="0"/>
                <w:color w:val="000000"/>
                <w:kern w:val="0"/>
                <w:sz w:val="24"/>
                <w:szCs w:val="24"/>
                <w:u w:val="none"/>
                <w:lang w:val="en-US" w:eastAsia="zh-CN" w:bidi="ar"/>
              </w:rPr>
              <w:t>批次</w:t>
            </w:r>
          </w:p>
        </w:tc>
        <w:tc>
          <w:tcPr>
            <w:tcW w:w="1843"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第一批</w:t>
            </w:r>
          </w:p>
        </w:tc>
        <w:tc>
          <w:tcPr>
            <w:tcW w:w="187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第二批</w:t>
            </w:r>
          </w:p>
        </w:tc>
        <w:tc>
          <w:tcPr>
            <w:tcW w:w="1942"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第三批</w:t>
            </w:r>
          </w:p>
        </w:tc>
        <w:tc>
          <w:tcPr>
            <w:tcW w:w="1984"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合计</w:t>
            </w:r>
          </w:p>
        </w:tc>
      </w:tr>
      <w:tr>
        <w:tblPrEx>
          <w:tblLayout w:type="fixed"/>
          <w:tblCellMar>
            <w:top w:w="0" w:type="dxa"/>
            <w:left w:w="0" w:type="dxa"/>
            <w:bottom w:w="0" w:type="dxa"/>
            <w:right w:w="0" w:type="dxa"/>
          </w:tblCellMar>
        </w:tblPrEx>
        <w:trPr>
          <w:trHeight w:val="762" w:hRule="atLeast"/>
          <w:tblHeader/>
          <w:jc w:val="center"/>
        </w:trPr>
        <w:tc>
          <w:tcPr>
            <w:tcW w:w="122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ind w:left="1687" w:hanging="1680" w:hangingChars="700"/>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支出项目明细</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支出    （万元）</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比例（%）</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支出   （万元）</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比例（%）</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支出   （万元）</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比例（%）</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比例（%）</w:t>
            </w:r>
          </w:p>
        </w:tc>
      </w:tr>
      <w:tr>
        <w:tblPrEx>
          <w:tblLayout w:type="fixed"/>
          <w:tblCellMar>
            <w:top w:w="0" w:type="dxa"/>
            <w:left w:w="0" w:type="dxa"/>
            <w:bottom w:w="0" w:type="dxa"/>
            <w:right w:w="0" w:type="dxa"/>
          </w:tblCellMar>
        </w:tblPrEx>
        <w:trPr>
          <w:trHeight w:val="585" w:hRule="atLeast"/>
          <w:jc w:val="center"/>
        </w:trPr>
        <w:tc>
          <w:tcPr>
            <w:tcW w:w="122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发展前沿医疗技术</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23692.97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15.80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33673.62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17.72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5307.26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6.63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62673.85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14.92 </w:t>
            </w:r>
          </w:p>
        </w:tc>
      </w:tr>
      <w:tr>
        <w:tblPrEx>
          <w:tblLayout w:type="fixed"/>
          <w:tblCellMar>
            <w:top w:w="0" w:type="dxa"/>
            <w:left w:w="0" w:type="dxa"/>
            <w:bottom w:w="0" w:type="dxa"/>
            <w:right w:w="0" w:type="dxa"/>
          </w:tblCellMar>
        </w:tblPrEx>
        <w:trPr>
          <w:trHeight w:val="558"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建设高水平临床科研平台</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12464.31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8.31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14934.92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7.86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900.89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1.13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28300.12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6.74 </w:t>
            </w:r>
          </w:p>
        </w:tc>
      </w:tr>
      <w:tr>
        <w:tblPrEx>
          <w:tblLayout w:type="fixed"/>
          <w:tblCellMar>
            <w:top w:w="0" w:type="dxa"/>
            <w:left w:w="0" w:type="dxa"/>
            <w:bottom w:w="0" w:type="dxa"/>
            <w:right w:w="0" w:type="dxa"/>
          </w:tblCellMar>
        </w:tblPrEx>
        <w:trPr>
          <w:trHeight w:val="534"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集聚拔尖医学人才所</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17621.93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11.75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17622.81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9.28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3910.60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4.89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39155.34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9.32 </w:t>
            </w:r>
          </w:p>
        </w:tc>
      </w:tr>
      <w:tr>
        <w:tblPrEx>
          <w:tblLayout w:type="fixed"/>
          <w:tblCellMar>
            <w:top w:w="0" w:type="dxa"/>
            <w:left w:w="0" w:type="dxa"/>
            <w:bottom w:w="0" w:type="dxa"/>
            <w:right w:w="0" w:type="dxa"/>
          </w:tblCellMar>
        </w:tblPrEx>
        <w:trPr>
          <w:trHeight w:val="539"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打造一流医学学科</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17786.58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11.86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13301.71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7.00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13527.91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16.91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44616.19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10.62 </w:t>
            </w:r>
          </w:p>
        </w:tc>
      </w:tr>
      <w:tr>
        <w:tblPrEx>
          <w:tblLayout w:type="fixed"/>
          <w:tblCellMar>
            <w:top w:w="0" w:type="dxa"/>
            <w:left w:w="0" w:type="dxa"/>
            <w:bottom w:w="0" w:type="dxa"/>
            <w:right w:w="0" w:type="dxa"/>
          </w:tblCellMar>
        </w:tblPrEx>
        <w:trPr>
          <w:trHeight w:val="537"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建立现代医院管理制度</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187.88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0.13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1116.67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0.59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536.26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0.67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1840.80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0.44 </w:t>
            </w:r>
          </w:p>
        </w:tc>
      </w:tr>
      <w:tr>
        <w:tblPrEx>
          <w:tblLayout w:type="fixed"/>
          <w:tblCellMar>
            <w:top w:w="0" w:type="dxa"/>
            <w:left w:w="0" w:type="dxa"/>
            <w:bottom w:w="0" w:type="dxa"/>
            <w:right w:w="0" w:type="dxa"/>
          </w:tblCellMar>
        </w:tblPrEx>
        <w:trPr>
          <w:trHeight w:val="503"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发挥示范引领作用</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159.30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0.11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2006.28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1.06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478.80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0.60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2644.38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0.63 </w:t>
            </w:r>
          </w:p>
        </w:tc>
      </w:tr>
      <w:tr>
        <w:tblPrEx>
          <w:tblLayout w:type="fixed"/>
          <w:tblCellMar>
            <w:top w:w="0" w:type="dxa"/>
            <w:left w:w="0" w:type="dxa"/>
            <w:bottom w:w="0" w:type="dxa"/>
            <w:right w:w="0" w:type="dxa"/>
          </w:tblCellMar>
        </w:tblPrEx>
        <w:trPr>
          <w:trHeight w:val="414"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其他用途</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1567.44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1.04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0.00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0.00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0.00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0.00 </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1567.44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0.37 </w:t>
            </w:r>
          </w:p>
        </w:tc>
      </w:tr>
      <w:tr>
        <w:tblPrEx>
          <w:tblLayout w:type="fixed"/>
          <w:tblCellMar>
            <w:top w:w="0" w:type="dxa"/>
            <w:left w:w="0" w:type="dxa"/>
            <w:bottom w:w="0" w:type="dxa"/>
            <w:right w:w="0" w:type="dxa"/>
          </w:tblCellMar>
        </w:tblPrEx>
        <w:trPr>
          <w:trHeight w:val="549" w:hRule="atLeast"/>
          <w:jc w:val="center"/>
        </w:trPr>
        <w:tc>
          <w:tcPr>
            <w:tcW w:w="12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合计</w:t>
            </w:r>
          </w:p>
        </w:tc>
        <w:tc>
          <w:tcPr>
            <w:tcW w:w="11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73480.41 </w:t>
            </w:r>
          </w:p>
        </w:tc>
        <w:tc>
          <w:tcPr>
            <w:tcW w:w="71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48.99 </w:t>
            </w:r>
          </w:p>
        </w:tc>
        <w:tc>
          <w:tcPr>
            <w:tcW w:w="11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82655.99 </w:t>
            </w:r>
          </w:p>
        </w:tc>
        <w:tc>
          <w:tcPr>
            <w:tcW w:w="73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43.50 </w:t>
            </w:r>
          </w:p>
        </w:tc>
        <w:tc>
          <w:tcPr>
            <w:tcW w:w="11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24661.72 </w:t>
            </w:r>
          </w:p>
        </w:tc>
        <w:tc>
          <w:tcPr>
            <w:tcW w:w="7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30.83</w:t>
            </w:r>
          </w:p>
        </w:tc>
        <w:tc>
          <w:tcPr>
            <w:tcW w:w="12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180798.12 </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Times New Roman" w:hAnsi="Times New Roman" w:eastAsia="仿宋_GB2312" w:cs="Times New Roman"/>
                <w:b w:val="0"/>
                <w:bCs w:val="0"/>
                <w:i w:val="0"/>
                <w:color w:val="000000"/>
                <w:sz w:val="24"/>
                <w:szCs w:val="24"/>
                <w:u w:val="none"/>
              </w:rPr>
            </w:pPr>
            <w:r>
              <w:rPr>
                <w:rFonts w:hint="default" w:ascii="Times New Roman" w:hAnsi="Times New Roman" w:eastAsia="仿宋_GB2312" w:cs="Times New Roman"/>
                <w:b w:val="0"/>
                <w:bCs w:val="0"/>
                <w:i w:val="0"/>
                <w:color w:val="000000"/>
                <w:kern w:val="0"/>
                <w:sz w:val="24"/>
                <w:szCs w:val="24"/>
                <w:u w:val="none"/>
                <w:lang w:val="en-US" w:eastAsia="zh-CN" w:bidi="ar"/>
              </w:rPr>
              <w:t xml:space="preserve">43.05 </w:t>
            </w:r>
          </w:p>
        </w:tc>
      </w:tr>
    </w:tbl>
    <w:p>
      <w:pPr>
        <w:pageBreakBefore w:val="0"/>
        <w:kinsoku/>
        <w:wordWrap/>
        <w:overflowPunct/>
        <w:topLinePunct w:val="0"/>
        <w:bidi w:val="0"/>
        <w:snapToGrid w:val="0"/>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2.专项资金完成绩效目标情况。</w:t>
      </w:r>
    </w:p>
    <w:p>
      <w:pPr>
        <w:pStyle w:val="16"/>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
          <w:bCs/>
          <w:sz w:val="32"/>
          <w:szCs w:val="32"/>
          <w:lang w:val="en-US" w:eastAsia="zh-CN"/>
        </w:rPr>
        <w:t>（1）高水平建设医院项目完成绩效目标情况。</w:t>
      </w:r>
      <w:r>
        <w:rPr>
          <w:rFonts w:hint="default" w:ascii="Times New Roman" w:hAnsi="Times New Roman" w:eastAsia="仿宋_GB2312" w:cs="Times New Roman"/>
          <w:color w:val="000000"/>
          <w:kern w:val="0"/>
          <w:sz w:val="32"/>
          <w:szCs w:val="32"/>
          <w:lang w:val="en-US" w:eastAsia="zh-CN"/>
        </w:rPr>
        <w:t>2019年，</w:t>
      </w:r>
      <w:r>
        <w:rPr>
          <w:rFonts w:hint="default" w:ascii="Times New Roman" w:hAnsi="Times New Roman" w:eastAsia="仿宋_GB2312" w:cs="Times New Roman"/>
          <w:spacing w:val="0"/>
          <w:sz w:val="32"/>
          <w:szCs w:val="32"/>
        </w:rPr>
        <w:t>我委</w:t>
      </w:r>
      <w:r>
        <w:rPr>
          <w:rFonts w:hint="default" w:ascii="Times New Roman" w:hAnsi="Times New Roman" w:eastAsia="仿宋_GB2312" w:cs="Times New Roman"/>
          <w:spacing w:val="0"/>
          <w:sz w:val="32"/>
          <w:szCs w:val="32"/>
          <w:lang w:val="en-US" w:eastAsia="zh-CN"/>
        </w:rPr>
        <w:t>大力推进高水平医院建设任务</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color w:val="000000"/>
          <w:kern w:val="0"/>
          <w:sz w:val="32"/>
          <w:szCs w:val="32"/>
          <w:lang w:val="en-US" w:eastAsia="zh-CN"/>
        </w:rPr>
        <w:t>30家高水平医院全部按计划完成年度建设任务，全部实现了绩效目标。年度建设任务数940项，实际完成1251项，完成率133.09%。其中</w:t>
      </w:r>
      <w:r>
        <w:rPr>
          <w:rFonts w:hint="default" w:ascii="Times New Roman" w:hAnsi="Times New Roman" w:eastAsia="仿宋_GB2312" w:cs="Times New Roman"/>
          <w:spacing w:val="0"/>
          <w:sz w:val="32"/>
          <w:szCs w:val="32"/>
        </w:rPr>
        <w:t>前沿医疗技术</w:t>
      </w:r>
      <w:r>
        <w:rPr>
          <w:rFonts w:hint="default" w:ascii="Times New Roman" w:hAnsi="Times New Roman" w:eastAsia="仿宋_GB2312" w:cs="Times New Roman"/>
          <w:spacing w:val="0"/>
          <w:sz w:val="32"/>
          <w:szCs w:val="32"/>
          <w:lang w:val="en-US" w:eastAsia="zh-CN"/>
        </w:rPr>
        <w:t>194</w:t>
      </w:r>
      <w:r>
        <w:rPr>
          <w:rFonts w:hint="default" w:ascii="Times New Roman" w:hAnsi="Times New Roman" w:eastAsia="仿宋_GB2312" w:cs="Times New Roman"/>
          <w:spacing w:val="0"/>
          <w:sz w:val="32"/>
          <w:szCs w:val="32"/>
        </w:rPr>
        <w:t>项，高水平</w:t>
      </w:r>
      <w:r>
        <w:rPr>
          <w:rFonts w:hint="default" w:ascii="Times New Roman" w:hAnsi="Times New Roman" w:eastAsia="仿宋_GB2312" w:cs="Times New Roman"/>
          <w:spacing w:val="0"/>
          <w:kern w:val="0"/>
          <w:sz w:val="32"/>
          <w:szCs w:val="32"/>
        </w:rPr>
        <w:t>临床科研平台建设</w:t>
      </w:r>
      <w:r>
        <w:rPr>
          <w:rFonts w:hint="default" w:ascii="Times New Roman" w:hAnsi="Times New Roman" w:eastAsia="仿宋_GB2312" w:cs="Times New Roman"/>
          <w:spacing w:val="0"/>
          <w:kern w:val="0"/>
          <w:sz w:val="32"/>
          <w:szCs w:val="32"/>
          <w:lang w:val="en-US" w:eastAsia="zh-CN"/>
        </w:rPr>
        <w:t>231</w:t>
      </w:r>
      <w:r>
        <w:rPr>
          <w:rFonts w:hint="default" w:ascii="Times New Roman" w:hAnsi="Times New Roman" w:eastAsia="仿宋_GB2312" w:cs="Times New Roman"/>
          <w:spacing w:val="0"/>
          <w:kern w:val="0"/>
          <w:sz w:val="32"/>
          <w:szCs w:val="32"/>
        </w:rPr>
        <w:t>个，引进和培育高层次人才</w:t>
      </w:r>
      <w:r>
        <w:rPr>
          <w:rFonts w:hint="default" w:ascii="Times New Roman" w:hAnsi="Times New Roman" w:eastAsia="仿宋_GB2312" w:cs="Times New Roman"/>
          <w:spacing w:val="0"/>
          <w:kern w:val="0"/>
          <w:sz w:val="32"/>
          <w:szCs w:val="32"/>
          <w:lang w:val="en-US" w:eastAsia="zh-CN"/>
        </w:rPr>
        <w:t>232</w:t>
      </w:r>
      <w:r>
        <w:rPr>
          <w:rFonts w:hint="default" w:ascii="Times New Roman" w:hAnsi="Times New Roman" w:eastAsia="仿宋_GB2312" w:cs="Times New Roman"/>
          <w:spacing w:val="0"/>
          <w:kern w:val="0"/>
          <w:sz w:val="32"/>
          <w:szCs w:val="32"/>
        </w:rPr>
        <w:t>人</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打造一流医学学科</w:t>
      </w:r>
      <w:r>
        <w:rPr>
          <w:rFonts w:hint="default" w:ascii="Times New Roman" w:hAnsi="Times New Roman" w:eastAsia="仿宋_GB2312" w:cs="Times New Roman"/>
          <w:spacing w:val="0"/>
          <w:kern w:val="0"/>
          <w:sz w:val="32"/>
          <w:szCs w:val="32"/>
          <w:lang w:val="en-US" w:eastAsia="zh-CN"/>
        </w:rPr>
        <w:t>159</w:t>
      </w:r>
      <w:r>
        <w:rPr>
          <w:rFonts w:hint="default" w:ascii="Times New Roman" w:hAnsi="Times New Roman" w:eastAsia="仿宋_GB2312" w:cs="Times New Roman"/>
          <w:spacing w:val="0"/>
          <w:kern w:val="0"/>
          <w:sz w:val="32"/>
          <w:szCs w:val="32"/>
        </w:rPr>
        <w:t>个，建立现代医院管理制度绩效</w:t>
      </w:r>
      <w:r>
        <w:rPr>
          <w:rFonts w:hint="default" w:ascii="Times New Roman" w:hAnsi="Times New Roman" w:eastAsia="仿宋_GB2312" w:cs="Times New Roman"/>
          <w:spacing w:val="0"/>
          <w:kern w:val="0"/>
          <w:sz w:val="32"/>
          <w:szCs w:val="32"/>
          <w:lang w:val="en-US" w:eastAsia="zh-CN"/>
        </w:rPr>
        <w:t>255</w:t>
      </w:r>
      <w:r>
        <w:rPr>
          <w:rFonts w:hint="default" w:ascii="Times New Roman" w:hAnsi="Times New Roman" w:eastAsia="仿宋_GB2312" w:cs="Times New Roman"/>
          <w:spacing w:val="0"/>
          <w:kern w:val="0"/>
          <w:sz w:val="32"/>
          <w:szCs w:val="32"/>
        </w:rPr>
        <w:t>项，</w:t>
      </w:r>
      <w:r>
        <w:rPr>
          <w:rFonts w:hint="default" w:ascii="Times New Roman" w:hAnsi="Times New Roman" w:eastAsia="仿宋_GB2312" w:cs="Times New Roman"/>
          <w:spacing w:val="0"/>
          <w:kern w:val="0"/>
          <w:sz w:val="32"/>
          <w:szCs w:val="32"/>
          <w:lang w:val="en-US" w:eastAsia="zh-CN"/>
        </w:rPr>
        <w:t>发挥示范引领作用180个</w:t>
      </w:r>
      <w:r>
        <w:rPr>
          <w:rFonts w:hint="default" w:ascii="Times New Roman" w:hAnsi="Times New Roman" w:eastAsia="仿宋_GB2312" w:cs="Times New Roman"/>
          <w:spacing w:val="0"/>
          <w:kern w:val="0"/>
          <w:sz w:val="32"/>
          <w:szCs w:val="32"/>
        </w:rPr>
        <w:t>，各项工作均完成了年度建设目标任务</w:t>
      </w:r>
      <w:r>
        <w:rPr>
          <w:rFonts w:hint="default" w:ascii="Times New Roman" w:hAnsi="Times New Roman" w:eastAsia="仿宋_GB2312" w:cs="Times New Roman"/>
          <w:spacing w:val="0"/>
          <w:kern w:val="0"/>
          <w:sz w:val="32"/>
          <w:szCs w:val="32"/>
          <w:lang w:eastAsia="zh-CN"/>
        </w:rPr>
        <w:t>，具体具体</w:t>
      </w:r>
      <w:r>
        <w:rPr>
          <w:rFonts w:hint="default" w:ascii="Times New Roman" w:hAnsi="Times New Roman" w:eastAsia="仿宋_GB2312" w:cs="Times New Roman"/>
          <w:color w:val="000000"/>
          <w:kern w:val="0"/>
          <w:sz w:val="32"/>
          <w:szCs w:val="32"/>
          <w:lang w:val="en-US" w:eastAsia="zh-CN"/>
        </w:rPr>
        <w:t>见表4。</w:t>
      </w:r>
    </w:p>
    <w:p>
      <w:pPr>
        <w:pStyle w:val="1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br w:type="page"/>
      </w:r>
    </w:p>
    <w:tbl>
      <w:tblPr>
        <w:tblStyle w:val="12"/>
        <w:tblpPr w:leftFromText="180" w:rightFromText="180" w:vertAnchor="text" w:horzAnchor="page" w:tblpX="1701" w:tblpY="-593"/>
        <w:tblOverlap w:val="never"/>
        <w:tblW w:w="8868" w:type="dxa"/>
        <w:jc w:val="center"/>
        <w:tblInd w:w="0" w:type="dxa"/>
        <w:tblLayout w:type="fixed"/>
        <w:tblCellMar>
          <w:top w:w="0" w:type="dxa"/>
          <w:left w:w="0" w:type="dxa"/>
          <w:bottom w:w="0" w:type="dxa"/>
          <w:right w:w="0" w:type="dxa"/>
        </w:tblCellMar>
      </w:tblPr>
      <w:tblGrid>
        <w:gridCol w:w="2146"/>
        <w:gridCol w:w="842"/>
        <w:gridCol w:w="857"/>
        <w:gridCol w:w="1088"/>
        <w:gridCol w:w="691"/>
        <w:gridCol w:w="886"/>
        <w:gridCol w:w="843"/>
        <w:gridCol w:w="857"/>
        <w:gridCol w:w="658"/>
      </w:tblGrid>
      <w:tr>
        <w:tblPrEx>
          <w:tblLayout w:type="fixed"/>
          <w:tblCellMar>
            <w:top w:w="0" w:type="dxa"/>
            <w:left w:w="0" w:type="dxa"/>
            <w:bottom w:w="0" w:type="dxa"/>
            <w:right w:w="0" w:type="dxa"/>
          </w:tblCellMar>
        </w:tblPrEx>
        <w:trPr>
          <w:trHeight w:val="584" w:hRule="atLeast"/>
          <w:jc w:val="center"/>
        </w:trPr>
        <w:tc>
          <w:tcPr>
            <w:tcW w:w="8868" w:type="dxa"/>
            <w:gridSpan w:val="9"/>
            <w:tcBorders>
              <w:top w:val="nil"/>
              <w:left w:val="nil"/>
              <w:bottom w:val="nil"/>
              <w:right w:val="nil"/>
            </w:tcBorders>
            <w:noWrap w:val="0"/>
            <w:tcMar>
              <w:top w:w="12" w:type="dxa"/>
              <w:left w:w="12" w:type="dxa"/>
              <w:right w:w="12" w:type="dxa"/>
            </w:tcMar>
            <w:vAlign w:val="center"/>
          </w:tcPr>
          <w:p>
            <w:pPr>
              <w:pStyle w:val="16"/>
              <w:keepNext w:val="0"/>
              <w:keepLines w:val="0"/>
              <w:pageBreakBefore w:val="0"/>
              <w:widowControl w:val="0"/>
              <w:kinsoku/>
              <w:wordWrap/>
              <w:overflowPunct/>
              <w:topLinePunct w:val="0"/>
              <w:autoSpaceDE/>
              <w:autoSpaceDN/>
              <w:bidi w:val="0"/>
              <w:adjustRightInd/>
              <w:snapToGrid/>
              <w:spacing w:beforeLines="0" w:afterLines="0" w:line="560" w:lineRule="exact"/>
              <w:ind w:firstLine="643" w:firstLineChars="200"/>
              <w:jc w:val="both"/>
              <w:textAlignment w:val="auto"/>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bCs/>
                <w:kern w:val="0"/>
                <w:sz w:val="32"/>
                <w:szCs w:val="32"/>
                <w:lang w:val="en-US" w:eastAsia="zh-CN" w:bidi="ar-SA"/>
              </w:rPr>
              <w:t>表4：高水平建设医院绩效指标目标完成情况表</w:t>
            </w:r>
          </w:p>
        </w:tc>
      </w:tr>
      <w:tr>
        <w:tblPrEx>
          <w:tblLayout w:type="fixed"/>
          <w:tblCellMar>
            <w:top w:w="0" w:type="dxa"/>
            <w:left w:w="0" w:type="dxa"/>
            <w:bottom w:w="0" w:type="dxa"/>
            <w:right w:w="0" w:type="dxa"/>
          </w:tblCellMar>
        </w:tblPrEx>
        <w:trPr>
          <w:trHeight w:val="283" w:hRule="atLeast"/>
          <w:jc w:val="center"/>
        </w:trPr>
        <w:tc>
          <w:tcPr>
            <w:tcW w:w="2146" w:type="dxa"/>
            <w:vMerge w:val="restart"/>
            <w:tcBorders>
              <w:top w:val="single" w:color="000000" w:sz="8" w:space="0"/>
              <w:left w:val="single" w:color="auto" w:sz="4" w:space="0"/>
              <w:bottom w:val="nil"/>
              <w:right w:val="nil"/>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项目指标</w:t>
            </w:r>
          </w:p>
        </w:tc>
        <w:tc>
          <w:tcPr>
            <w:tcW w:w="6722" w:type="dxa"/>
            <w:gridSpan w:val="8"/>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30家高水平医院</w:t>
            </w:r>
          </w:p>
        </w:tc>
      </w:tr>
      <w:tr>
        <w:tblPrEx>
          <w:tblLayout w:type="fixed"/>
          <w:tblCellMar>
            <w:top w:w="0" w:type="dxa"/>
            <w:left w:w="0" w:type="dxa"/>
            <w:bottom w:w="0" w:type="dxa"/>
            <w:right w:w="0" w:type="dxa"/>
          </w:tblCellMar>
        </w:tblPrEx>
        <w:trPr>
          <w:trHeight w:val="238" w:hRule="atLeast"/>
          <w:jc w:val="center"/>
        </w:trPr>
        <w:tc>
          <w:tcPr>
            <w:tcW w:w="2146" w:type="dxa"/>
            <w:vMerge w:val="continue"/>
            <w:tcBorders>
              <w:top w:val="single" w:color="000000" w:sz="8" w:space="0"/>
              <w:left w:val="single" w:color="auto" w:sz="4" w:space="0"/>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i w:val="0"/>
                <w:color w:val="000000"/>
                <w:sz w:val="24"/>
                <w:szCs w:val="24"/>
                <w:u w:val="none"/>
              </w:rPr>
            </w:pPr>
          </w:p>
        </w:tc>
        <w:tc>
          <w:tcPr>
            <w:tcW w:w="2787"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年度指标值（任务数）</w:t>
            </w:r>
          </w:p>
        </w:tc>
        <w:tc>
          <w:tcPr>
            <w:tcW w:w="691"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小计</w:t>
            </w:r>
          </w:p>
        </w:tc>
        <w:tc>
          <w:tcPr>
            <w:tcW w:w="2586"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年度完成值（完成数）</w:t>
            </w:r>
          </w:p>
        </w:tc>
        <w:tc>
          <w:tcPr>
            <w:tcW w:w="658"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小计</w:t>
            </w:r>
          </w:p>
        </w:tc>
      </w:tr>
      <w:tr>
        <w:tblPrEx>
          <w:tblLayout w:type="fixed"/>
          <w:tblCellMar>
            <w:top w:w="0" w:type="dxa"/>
            <w:left w:w="0" w:type="dxa"/>
            <w:bottom w:w="0" w:type="dxa"/>
            <w:right w:w="0" w:type="dxa"/>
          </w:tblCellMar>
        </w:tblPrEx>
        <w:trPr>
          <w:trHeight w:val="279" w:hRule="atLeast"/>
          <w:jc w:val="center"/>
        </w:trPr>
        <w:tc>
          <w:tcPr>
            <w:tcW w:w="2146" w:type="dxa"/>
            <w:vMerge w:val="continue"/>
            <w:tcBorders>
              <w:top w:val="single" w:color="000000" w:sz="8" w:space="0"/>
              <w:left w:val="single" w:color="auto" w:sz="4" w:space="0"/>
              <w:bottom w:val="nil"/>
              <w:right w:val="nil"/>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i w:val="0"/>
                <w:color w:val="000000"/>
                <w:sz w:val="24"/>
                <w:szCs w:val="24"/>
                <w:u w:val="none"/>
              </w:rPr>
            </w:pP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第一批</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第二批</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第三批</w:t>
            </w:r>
          </w:p>
        </w:tc>
        <w:tc>
          <w:tcPr>
            <w:tcW w:w="691"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i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第一批</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第二批</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第三批</w:t>
            </w:r>
          </w:p>
        </w:tc>
        <w:tc>
          <w:tcPr>
            <w:tcW w:w="658"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b w:val="0"/>
                <w:bCs/>
                <w:i w:val="0"/>
                <w:color w:val="000000"/>
                <w:sz w:val="24"/>
                <w:szCs w:val="24"/>
                <w:u w:val="none"/>
              </w:rPr>
            </w:pPr>
          </w:p>
        </w:tc>
      </w:tr>
      <w:tr>
        <w:tblPrEx>
          <w:tblLayout w:type="fixed"/>
          <w:tblCellMar>
            <w:top w:w="0" w:type="dxa"/>
            <w:left w:w="0" w:type="dxa"/>
            <w:bottom w:w="0" w:type="dxa"/>
            <w:right w:w="0" w:type="dxa"/>
          </w:tblCellMar>
        </w:tblPrEx>
        <w:trPr>
          <w:trHeight w:val="527"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发展前沿医疗技术</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45</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66</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36</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147</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63</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88</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43</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194</w:t>
            </w:r>
          </w:p>
        </w:tc>
      </w:tr>
      <w:tr>
        <w:tblPrEx>
          <w:tblLayout w:type="fixed"/>
          <w:tblCellMar>
            <w:top w:w="0" w:type="dxa"/>
            <w:left w:w="0" w:type="dxa"/>
            <w:bottom w:w="0" w:type="dxa"/>
            <w:right w:w="0" w:type="dxa"/>
          </w:tblCellMar>
        </w:tblPrEx>
        <w:trPr>
          <w:trHeight w:val="307"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建设高水平临床科研平台</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46</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92</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39</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177</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71</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113</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47</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231</w:t>
            </w:r>
          </w:p>
        </w:tc>
      </w:tr>
      <w:tr>
        <w:tblPrEx>
          <w:tblLayout w:type="fixed"/>
          <w:tblCellMar>
            <w:top w:w="0" w:type="dxa"/>
            <w:left w:w="0" w:type="dxa"/>
            <w:bottom w:w="0" w:type="dxa"/>
            <w:right w:w="0" w:type="dxa"/>
          </w:tblCellMar>
        </w:tblPrEx>
        <w:trPr>
          <w:trHeight w:val="307"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集聚拔尖医学人才</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43</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88</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55</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186</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71</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105</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56</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232</w:t>
            </w:r>
          </w:p>
        </w:tc>
      </w:tr>
      <w:tr>
        <w:tblPrEx>
          <w:tblLayout w:type="fixed"/>
          <w:tblCellMar>
            <w:top w:w="0" w:type="dxa"/>
            <w:left w:w="0" w:type="dxa"/>
            <w:bottom w:w="0" w:type="dxa"/>
            <w:right w:w="0" w:type="dxa"/>
          </w:tblCellMar>
        </w:tblPrEx>
        <w:trPr>
          <w:trHeight w:val="307"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打造一流医学学科</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53</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28</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113</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56</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68</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159</w:t>
            </w:r>
          </w:p>
        </w:tc>
      </w:tr>
      <w:tr>
        <w:tblPrEx>
          <w:tblLayout w:type="fixed"/>
          <w:tblCellMar>
            <w:top w:w="0" w:type="dxa"/>
            <w:left w:w="0" w:type="dxa"/>
            <w:bottom w:w="0" w:type="dxa"/>
            <w:right w:w="0" w:type="dxa"/>
          </w:tblCellMar>
        </w:tblPrEx>
        <w:trPr>
          <w:trHeight w:val="307"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建立现代医院管理制度</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44</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92</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51</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187</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79</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112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64</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255</w:t>
            </w:r>
          </w:p>
        </w:tc>
      </w:tr>
      <w:tr>
        <w:tblPrEx>
          <w:tblLayout w:type="fixed"/>
          <w:tblCellMar>
            <w:top w:w="0" w:type="dxa"/>
            <w:left w:w="0" w:type="dxa"/>
            <w:bottom w:w="0" w:type="dxa"/>
            <w:right w:w="0" w:type="dxa"/>
          </w:tblCellMar>
        </w:tblPrEx>
        <w:trPr>
          <w:trHeight w:val="90"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发挥示范引领作用</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69</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29</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130</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57</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88</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35</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180</w:t>
            </w:r>
          </w:p>
        </w:tc>
      </w:tr>
      <w:tr>
        <w:tblPrEx>
          <w:tblLayout w:type="fixed"/>
          <w:tblCellMar>
            <w:top w:w="0" w:type="dxa"/>
            <w:left w:w="0" w:type="dxa"/>
            <w:bottom w:w="0" w:type="dxa"/>
            <w:right w:w="0" w:type="dxa"/>
          </w:tblCellMar>
        </w:tblPrEx>
        <w:trPr>
          <w:trHeight w:val="323" w:hRule="atLeast"/>
          <w:jc w:val="center"/>
        </w:trPr>
        <w:tc>
          <w:tcPr>
            <w:tcW w:w="214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总合计</w:t>
            </w:r>
          </w:p>
        </w:tc>
        <w:tc>
          <w:tcPr>
            <w:tcW w:w="8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242</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460</w:t>
            </w:r>
          </w:p>
        </w:tc>
        <w:tc>
          <w:tcPr>
            <w:tcW w:w="10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238</w:t>
            </w:r>
          </w:p>
        </w:tc>
        <w:tc>
          <w:tcPr>
            <w:tcW w:w="691"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940</w:t>
            </w:r>
          </w:p>
        </w:tc>
        <w:tc>
          <w:tcPr>
            <w:tcW w:w="8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397</w:t>
            </w:r>
          </w:p>
        </w:tc>
        <w:tc>
          <w:tcPr>
            <w:tcW w:w="84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574</w:t>
            </w:r>
          </w:p>
        </w:tc>
        <w:tc>
          <w:tcPr>
            <w:tcW w:w="85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280</w:t>
            </w:r>
          </w:p>
        </w:tc>
        <w:tc>
          <w:tcPr>
            <w:tcW w:w="6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1251</w:t>
            </w:r>
          </w:p>
        </w:tc>
      </w:tr>
    </w:tbl>
    <w:p>
      <w:pPr>
        <w:pStyle w:val="16"/>
        <w:keepNext w:val="0"/>
        <w:keepLines w:val="0"/>
        <w:pageBreakBefore w:val="0"/>
        <w:widowControl w:val="0"/>
        <w:numPr>
          <w:ilvl w:val="0"/>
          <w:numId w:val="0"/>
        </w:numPr>
        <w:kinsoku/>
        <w:wordWrap/>
        <w:overflowPunct/>
        <w:topLinePunct w:val="0"/>
        <w:bidi w:val="0"/>
        <w:spacing w:beforeLines="0" w:afterLines="0" w:line="560" w:lineRule="exact"/>
        <w:ind w:firstLine="643" w:firstLineChars="200"/>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（2）公立医院取消药品加成财政补偿项目</w:t>
      </w:r>
      <w:r>
        <w:rPr>
          <w:rFonts w:hint="default" w:ascii="Times New Roman" w:hAnsi="Times New Roman" w:eastAsia="仿宋_GB2312" w:cs="Times New Roman"/>
          <w:b/>
          <w:bCs/>
          <w:sz w:val="32"/>
          <w:szCs w:val="32"/>
          <w:lang w:val="en-US" w:eastAsia="zh-CN"/>
        </w:rPr>
        <w:t>完成绩效目标情况</w:t>
      </w:r>
      <w:r>
        <w:rPr>
          <w:rFonts w:hint="default" w:ascii="Times New Roman" w:hAnsi="Times New Roman" w:eastAsia="仿宋_GB2312" w:cs="Times New Roman"/>
          <w:i w:val="0"/>
          <w:color w:val="auto"/>
          <w:kern w:val="0"/>
          <w:sz w:val="32"/>
          <w:szCs w:val="32"/>
          <w:u w:val="none"/>
          <w:lang w:val="en-US" w:eastAsia="zh-CN" w:bidi="ar"/>
        </w:rPr>
        <w:t>。我委</w:t>
      </w:r>
      <w:r>
        <w:rPr>
          <w:rFonts w:hint="default" w:ascii="Times New Roman" w:hAnsi="Times New Roman" w:eastAsia="仿宋_GB2312" w:cs="Times New Roman"/>
          <w:color w:val="auto"/>
          <w:kern w:val="2"/>
          <w:sz w:val="32"/>
          <w:szCs w:val="32"/>
          <w:lang w:val="en-US" w:eastAsia="zh-CN" w:bidi="ar-SA"/>
        </w:rPr>
        <w:t>认真贯彻落实党中央、国务院以及省委省政府关于深化公立医院综合改革的决策部署，持续推进公立医院综合改革，进一步健全公立医院运行机制，推动建立现代医院管理制度，在全省遴选2个地市、3个县（市）、58家医院开展现代医院管理制度试点和党建示范点创建工作，进一步完善了公立医院运行和补偿机制，取消药品和医用耗材加成补偿基本到位，公立医院薪酬制度改革加快推进，三级公立医院绩效考核全面开展，推动医保支付方式改</w:t>
      </w:r>
      <w:r>
        <w:rPr>
          <w:rFonts w:hint="default" w:ascii="Times New Roman" w:hAnsi="Times New Roman" w:eastAsia="仿宋_GB2312" w:cs="Times New Roman"/>
          <w:bCs/>
          <w:snapToGrid w:val="0"/>
          <w:kern w:val="0"/>
          <w:sz w:val="32"/>
          <w:szCs w:val="32"/>
          <w:lang w:val="en-US" w:eastAsia="zh-CN"/>
        </w:rPr>
        <w:t>革持续深化，网格化布局建设城市医联体，促进7个珠三角地市入选国家试点城市。</w:t>
      </w:r>
      <w:r>
        <w:rPr>
          <w:rFonts w:hint="default" w:ascii="Times New Roman" w:hAnsi="Times New Roman" w:eastAsia="仿宋_GB2312" w:cs="Times New Roman"/>
          <w:b w:val="0"/>
          <w:bCs w:val="0"/>
          <w:sz w:val="32"/>
          <w:szCs w:val="32"/>
          <w:lang w:val="en-US" w:eastAsia="zh-CN"/>
        </w:rPr>
        <w:t>据统计，</w:t>
      </w:r>
      <w:r>
        <w:rPr>
          <w:rFonts w:hint="default" w:ascii="Times New Roman" w:hAnsi="Times New Roman" w:eastAsia="仿宋_GB2312" w:cs="Times New Roman"/>
          <w:color w:val="auto"/>
          <w:kern w:val="2"/>
          <w:sz w:val="32"/>
          <w:szCs w:val="32"/>
          <w:lang w:val="en-US" w:eastAsia="zh-CN" w:bidi="ar-SA"/>
        </w:rPr>
        <w:t>2019年全省公立医院</w:t>
      </w:r>
      <w:r>
        <w:rPr>
          <w:rFonts w:hint="default" w:ascii="Times New Roman" w:hAnsi="Times New Roman" w:eastAsia="仿宋_GB2312" w:cs="Times New Roman"/>
          <w:sz w:val="32"/>
          <w:szCs w:val="32"/>
        </w:rPr>
        <w:t>药占比（不含中药饮片）</w:t>
      </w:r>
      <w:r>
        <w:rPr>
          <w:rFonts w:hint="default" w:ascii="Times New Roman" w:hAnsi="Times New Roman" w:eastAsia="仿宋_GB2312" w:cs="Times New Roman"/>
          <w:sz w:val="32"/>
          <w:szCs w:val="32"/>
          <w:lang w:val="en-US" w:eastAsia="zh-CN"/>
        </w:rPr>
        <w:t>26.99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公立医院百元医疗收入的医疗支出（不含药品收入）为111.13元，较上年略增1.42元。</w:t>
      </w:r>
    </w:p>
    <w:p>
      <w:pPr>
        <w:pStyle w:val="15"/>
        <w:pageBreakBefore w:val="0"/>
        <w:kinsoku/>
        <w:wordWrap/>
        <w:overflowPunct/>
        <w:topLinePunct w:val="0"/>
        <w:bidi w:val="0"/>
        <w:spacing w:before="0" w:beforeLines="0" w:after="0" w:afterLines="0" w:line="56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i w:val="0"/>
          <w:color w:val="auto"/>
          <w:kern w:val="0"/>
          <w:sz w:val="32"/>
          <w:szCs w:val="32"/>
          <w:u w:val="none"/>
          <w:lang w:val="en-US" w:eastAsia="zh-CN" w:bidi="ar"/>
        </w:rPr>
        <w:t>（3）广州呼吸中心建设项目</w:t>
      </w:r>
      <w:r>
        <w:rPr>
          <w:rFonts w:hint="default" w:ascii="Times New Roman" w:hAnsi="Times New Roman" w:eastAsia="仿宋_GB2312" w:cs="Times New Roman"/>
          <w:b/>
          <w:bCs/>
          <w:sz w:val="32"/>
          <w:szCs w:val="32"/>
          <w:lang w:val="en-US" w:eastAsia="zh-CN"/>
        </w:rPr>
        <w:t>完成绩效目标情况</w:t>
      </w:r>
      <w:r>
        <w:rPr>
          <w:rFonts w:hint="default" w:ascii="Times New Roman" w:hAnsi="Times New Roman" w:eastAsia="仿宋_GB2312" w:cs="Times New Roman"/>
          <w:b/>
          <w:bCs/>
          <w:i w:val="0"/>
          <w:color w:val="auto"/>
          <w:kern w:val="0"/>
          <w:sz w:val="32"/>
          <w:szCs w:val="32"/>
          <w:u w:val="none"/>
          <w:lang w:val="en-US" w:eastAsia="zh-CN" w:bidi="ar"/>
        </w:rPr>
        <w:t>。</w:t>
      </w:r>
      <w:r>
        <w:rPr>
          <w:rFonts w:hint="default" w:ascii="Times New Roman" w:hAnsi="Times New Roman" w:eastAsia="仿宋_GB2312" w:cs="Times New Roman"/>
          <w:bCs/>
          <w:sz w:val="32"/>
          <w:szCs w:val="32"/>
        </w:rPr>
        <w:t>广州呼吸中心项目</w:t>
      </w:r>
      <w:r>
        <w:rPr>
          <w:rFonts w:hint="default" w:ascii="Times New Roman" w:hAnsi="Times New Roman" w:eastAsia="仿宋_GB2312" w:cs="Times New Roman"/>
          <w:sz w:val="32"/>
          <w:szCs w:val="32"/>
          <w:lang w:val="en-US" w:eastAsia="zh-CN"/>
        </w:rPr>
        <w:t>按照年度建设计划，已完成了一期连续墙施工、工程桩、支撑梁施工，土方挖运，正在进行地下室结构及地下室扩展工程（二期）超前钻施工、</w:t>
      </w:r>
      <w:r>
        <w:rPr>
          <w:rFonts w:hint="default" w:ascii="Times New Roman" w:hAnsi="Times New Roman" w:eastAsia="仿宋_GB2312" w:cs="Times New Roman"/>
          <w:bCs/>
          <w:sz w:val="32"/>
          <w:szCs w:val="32"/>
        </w:rPr>
        <w:t>主体</w:t>
      </w:r>
      <w:r>
        <w:rPr>
          <w:rFonts w:hint="default" w:ascii="Times New Roman" w:hAnsi="Times New Roman" w:eastAsia="仿宋_GB2312" w:cs="Times New Roman"/>
          <w:bCs/>
          <w:sz w:val="32"/>
          <w:szCs w:val="32"/>
          <w:lang w:eastAsia="zh-CN"/>
        </w:rPr>
        <w:t>结构</w:t>
      </w:r>
      <w:r>
        <w:rPr>
          <w:rFonts w:hint="default" w:ascii="Times New Roman" w:hAnsi="Times New Roman" w:eastAsia="仿宋_GB2312" w:cs="Times New Roman"/>
          <w:bCs/>
          <w:sz w:val="32"/>
          <w:szCs w:val="32"/>
        </w:rPr>
        <w:t>工程施工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装修及机电安装</w:t>
      </w:r>
      <w:r>
        <w:rPr>
          <w:rFonts w:hint="default"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w:t>
      </w:r>
      <w:r>
        <w:rPr>
          <w:rFonts w:hint="default" w:ascii="Times New Roman" w:hAnsi="Times New Roman" w:eastAsia="仿宋_GB2312" w:cs="Times New Roman"/>
          <w:color w:val="000000"/>
          <w:sz w:val="32"/>
          <w:szCs w:val="32"/>
        </w:rPr>
        <w:t>截至20</w:t>
      </w:r>
      <w:r>
        <w:rPr>
          <w:rFonts w:hint="default"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月3</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eastAsia="zh-CN"/>
        </w:rPr>
        <w:t>已安排项目建设资金</w:t>
      </w:r>
      <w:r>
        <w:rPr>
          <w:rFonts w:hint="default" w:ascii="Times New Roman" w:hAnsi="Times New Roman" w:eastAsia="仿宋_GB2312" w:cs="Times New Roman"/>
          <w:color w:val="000000"/>
          <w:sz w:val="32"/>
          <w:szCs w:val="32"/>
          <w:lang w:val="en-US" w:eastAsia="zh-CN"/>
        </w:rPr>
        <w:t>70542万元，</w:t>
      </w:r>
      <w:r>
        <w:rPr>
          <w:rFonts w:hint="default" w:ascii="Times New Roman" w:hAnsi="Times New Roman" w:eastAsia="仿宋_GB2312" w:cs="Times New Roman"/>
          <w:color w:val="000000"/>
          <w:sz w:val="32"/>
          <w:szCs w:val="32"/>
        </w:rPr>
        <w:t>累计完成投资</w:t>
      </w:r>
      <w:r>
        <w:rPr>
          <w:rFonts w:hint="default" w:ascii="Times New Roman" w:hAnsi="Times New Roman" w:eastAsia="仿宋_GB2312" w:cs="Times New Roman"/>
          <w:color w:val="000000"/>
          <w:sz w:val="32"/>
          <w:szCs w:val="32"/>
          <w:lang w:val="en-US" w:eastAsia="zh-CN"/>
        </w:rPr>
        <w:t>40019</w:t>
      </w:r>
      <w:r>
        <w:rPr>
          <w:rFonts w:hint="default" w:ascii="Times New Roman" w:hAnsi="Times New Roman" w:eastAsia="仿宋_GB2312" w:cs="Times New Roman"/>
          <w:color w:val="000000"/>
          <w:sz w:val="32"/>
          <w:szCs w:val="32"/>
        </w:rPr>
        <w:t>万元，其中</w:t>
      </w:r>
      <w:r>
        <w:rPr>
          <w:rFonts w:hint="default" w:ascii="Times New Roman" w:hAnsi="Times New Roman" w:eastAsia="仿宋_GB2312" w:cs="Times New Roman"/>
          <w:color w:val="000000"/>
          <w:sz w:val="32"/>
          <w:szCs w:val="32"/>
          <w:lang w:eastAsia="zh-CN"/>
        </w:rPr>
        <w:t>，完成省级财政</w:t>
      </w:r>
      <w:r>
        <w:rPr>
          <w:rFonts w:hint="default" w:ascii="Times New Roman" w:hAnsi="Times New Roman" w:eastAsia="仿宋_GB2312" w:cs="Times New Roman"/>
          <w:color w:val="000000"/>
          <w:sz w:val="32"/>
          <w:szCs w:val="32"/>
        </w:rPr>
        <w:t>投资</w:t>
      </w:r>
      <w:r>
        <w:rPr>
          <w:rFonts w:hint="default" w:ascii="Times New Roman" w:hAnsi="Times New Roman" w:eastAsia="仿宋_GB2312" w:cs="Times New Roman"/>
          <w:color w:val="000000"/>
          <w:sz w:val="32"/>
          <w:szCs w:val="32"/>
          <w:lang w:eastAsia="zh-CN"/>
        </w:rPr>
        <w:t>资金</w:t>
      </w:r>
      <w:r>
        <w:rPr>
          <w:rFonts w:hint="default" w:ascii="Times New Roman" w:hAnsi="Times New Roman" w:eastAsia="仿宋_GB2312" w:cs="Times New Roman"/>
          <w:color w:val="000000"/>
          <w:sz w:val="32"/>
          <w:szCs w:val="32"/>
          <w:lang w:val="en-US" w:eastAsia="zh-CN"/>
        </w:rPr>
        <w:t>18120</w:t>
      </w:r>
      <w:r>
        <w:rPr>
          <w:rFonts w:hint="default" w:ascii="Times New Roman" w:hAnsi="Times New Roman" w:eastAsia="仿宋_GB2312" w:cs="Times New Roman"/>
          <w:color w:val="000000"/>
          <w:sz w:val="32"/>
          <w:szCs w:val="32"/>
        </w:rPr>
        <w:t>万元。</w:t>
      </w:r>
    </w:p>
    <w:p>
      <w:pPr>
        <w:snapToGrid w:val="0"/>
        <w:spacing w:line="560" w:lineRule="exact"/>
        <w:ind w:firstLine="643" w:firstLineChars="200"/>
        <w:rPr>
          <w:rFonts w:hint="default" w:ascii="Times New Roman" w:hAnsi="Times New Roman" w:eastAsia="仿宋_GB2312" w:cs="Times New Roman"/>
          <w:b/>
          <w:bCs/>
          <w:i w:val="0"/>
          <w:color w:val="auto"/>
          <w:kern w:val="0"/>
          <w:sz w:val="32"/>
          <w:szCs w:val="32"/>
          <w:highlight w:val="yellow"/>
          <w:u w:val="none"/>
          <w:lang w:val="en-US" w:eastAsia="zh-CN" w:bidi="ar"/>
        </w:rPr>
      </w:pPr>
      <w:r>
        <w:rPr>
          <w:rFonts w:hint="default" w:ascii="Times New Roman" w:hAnsi="Times New Roman" w:eastAsia="仿宋_GB2312" w:cs="Times New Roman"/>
          <w:b/>
          <w:bCs/>
          <w:i w:val="0"/>
          <w:color w:val="auto"/>
          <w:kern w:val="0"/>
          <w:sz w:val="32"/>
          <w:szCs w:val="32"/>
          <w:highlight w:val="none"/>
          <w:u w:val="none"/>
          <w:lang w:val="en-US" w:eastAsia="zh-CN" w:bidi="ar"/>
        </w:rPr>
        <w:t>（4）中山大学肿瘤防治中心国家肿瘤医学中心建设项目</w:t>
      </w:r>
      <w:r>
        <w:rPr>
          <w:rFonts w:hint="default" w:ascii="Times New Roman" w:hAnsi="Times New Roman" w:eastAsia="仿宋_GB2312" w:cs="Times New Roman"/>
          <w:b/>
          <w:bCs/>
          <w:sz w:val="32"/>
          <w:szCs w:val="32"/>
          <w:lang w:val="en-US" w:eastAsia="zh-CN"/>
        </w:rPr>
        <w:t>完成绩效目标情况</w:t>
      </w:r>
      <w:r>
        <w:rPr>
          <w:rFonts w:hint="default" w:ascii="Times New Roman" w:hAnsi="Times New Roman" w:eastAsia="仿宋_GB2312" w:cs="Times New Roman"/>
          <w:b/>
          <w:bCs/>
          <w:i w:val="0"/>
          <w:color w:val="auto"/>
          <w:kern w:val="0"/>
          <w:sz w:val="32"/>
          <w:szCs w:val="32"/>
          <w:highlight w:val="none"/>
          <w:u w:val="none"/>
          <w:lang w:val="en-US" w:eastAsia="zh-CN" w:bidi="ar"/>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《广东省财政厅关于安排中山大学肿瘤防治中心国家肿瘤医学中心建设项目省级补助资金的通知》（粤财社</w:t>
      </w:r>
      <w:r>
        <w:rPr>
          <w:rFonts w:hint="default" w:ascii="Times New Roman" w:hAnsi="Times New Roman" w:eastAsia="宋体" w:cs="Times New Roman"/>
          <w:b w:val="0"/>
          <w:bCs w:val="0"/>
          <w:i w:val="0"/>
          <w:color w:val="auto"/>
          <w:kern w:val="0"/>
          <w:sz w:val="32"/>
          <w:szCs w:val="32"/>
          <w:highlight w:val="none"/>
          <w:u w:val="none"/>
          <w:lang w:val="en-US" w:eastAsia="zh-CN" w:bidi="ar"/>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2019</w:t>
      </w:r>
      <w:r>
        <w:rPr>
          <w:rFonts w:hint="default" w:ascii="Times New Roman" w:hAnsi="Times New Roman" w:eastAsia="宋体" w:cs="Times New Roman"/>
          <w:b w:val="0"/>
          <w:bCs w:val="0"/>
          <w:i w:val="0"/>
          <w:color w:val="auto"/>
          <w:kern w:val="0"/>
          <w:sz w:val="32"/>
          <w:szCs w:val="32"/>
          <w:highlight w:val="none"/>
          <w:u w:val="none"/>
          <w:lang w:val="en-US" w:eastAsia="zh-CN" w:bidi="ar"/>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304号）于2019年12月26日下达中山大学肿瘤防治中心国家肿瘤医学中心建设项目省级补助资金10000万元，因资金下达比较晚，影响项目绩效目标完成进度，但建设方积极作为，全力推进项目建设，也取得了较好的效果。</w:t>
      </w: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rPr>
        <w:t>前沿医疗技术平台积极推进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已完成建设前沿医疗技术平台的配套设备购置立项，因受疫情影响，第一季度设备采购受到很大影响，未能如期采购。</w:t>
      </w:r>
      <w:r>
        <w:rPr>
          <w:rFonts w:hint="default" w:ascii="Times New Roman" w:hAnsi="Times New Roman" w:eastAsia="仿宋_GB2312" w:cs="Times New Roman"/>
          <w:sz w:val="32"/>
          <w:szCs w:val="32"/>
          <w:lang w:eastAsia="zh-CN"/>
        </w:rPr>
        <w:t>预计</w:t>
      </w:r>
      <w:r>
        <w:rPr>
          <w:rFonts w:hint="default" w:ascii="Times New Roman" w:hAnsi="Times New Roman" w:eastAsia="仿宋_GB2312" w:cs="Times New Roman"/>
          <w:sz w:val="32"/>
          <w:szCs w:val="32"/>
        </w:rPr>
        <w:t>4-5月份完成部分设备到货安装。</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rPr>
        <w:t>高水平科研平台腾飞园实验室装修已基本完成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目前腾飞园实验室配套的38项设备，预算金额共计4,523万元正在加紧招标，预计10月份左右内投入使用。</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rPr>
        <w:t>肿瘤大数据和人工智能研究应用平台已初步建立肿瘤大数据库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医院专门成立了人工智能AI实验室，并配备了专职的人员队伍，目前医院已初步建立肿瘤大数据库，并依托肿瘤大数据开展了鼻咽癌AI诊断等应用平台。</w:t>
      </w:r>
    </w:p>
    <w:p>
      <w:pPr>
        <w:pageBreakBefore w:val="0"/>
        <w:kinsoku/>
        <w:wordWrap/>
        <w:overflowPunct/>
        <w:topLinePunct w:val="0"/>
        <w:bidi w:val="0"/>
        <w:snapToGrid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3.专项资金分用途使用绩效。</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建设高水平医院</w:t>
      </w:r>
      <w:r>
        <w:rPr>
          <w:rFonts w:hint="default" w:ascii="Times New Roman" w:hAnsi="Times New Roman" w:eastAsia="仿宋_GB2312" w:cs="Times New Roman"/>
          <w:b/>
          <w:bCs/>
          <w:sz w:val="32"/>
          <w:szCs w:val="32"/>
        </w:rPr>
        <w:t>专项资金使用绩效</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75"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8"/>
          <w:sz w:val="32"/>
          <w:szCs w:val="32"/>
          <w:lang w:val="en-US" w:eastAsia="zh-CN"/>
        </w:rPr>
        <w:t>一是</w:t>
      </w:r>
      <w:r>
        <w:rPr>
          <w:rFonts w:hint="default" w:ascii="Times New Roman" w:hAnsi="Times New Roman" w:eastAsia="仿宋_GB2312" w:cs="Times New Roman"/>
          <w:b w:val="0"/>
          <w:bCs w:val="0"/>
          <w:spacing w:val="8"/>
          <w:sz w:val="32"/>
          <w:szCs w:val="32"/>
        </w:rPr>
        <w:t>以创新为主线，前沿技术层出不穷。</w:t>
      </w:r>
      <w:r>
        <w:rPr>
          <w:rFonts w:hint="default" w:ascii="Times New Roman" w:hAnsi="Times New Roman" w:eastAsia="仿宋_GB2312" w:cs="Times New Roman"/>
          <w:spacing w:val="8"/>
          <w:sz w:val="32"/>
          <w:szCs w:val="32"/>
        </w:rPr>
        <w:t>通过高水平建设，我省的解决复杂疾病的技术水平得到进一步提升，创新的前沿技术层出不穷。据统计，</w:t>
      </w:r>
      <w:r>
        <w:rPr>
          <w:rFonts w:hint="default" w:ascii="Times New Roman" w:hAnsi="Times New Roman" w:eastAsia="仿宋_GB2312" w:cs="Times New Roman"/>
          <w:spacing w:val="8"/>
          <w:sz w:val="32"/>
          <w:szCs w:val="32"/>
          <w:lang w:val="en-US" w:eastAsia="zh-CN"/>
        </w:rPr>
        <w:t>30家医院2019年共完成</w:t>
      </w:r>
      <w:r>
        <w:rPr>
          <w:rFonts w:hint="default" w:ascii="Times New Roman" w:hAnsi="Times New Roman" w:eastAsia="仿宋_GB2312" w:cs="Times New Roman"/>
          <w:spacing w:val="8"/>
          <w:sz w:val="32"/>
          <w:szCs w:val="32"/>
        </w:rPr>
        <w:t>创新技术达254项，其中以中山大学附属医院为主要批次的第二批医院开展新技术达170项，为全省解决复杂、重大疾病开辟了新的道路。如中山大学附属第一医院成功入选国家卫健委第一批罕见病诊疗协作网省级牵头医院；脑卒中综合诊疗和难治性炎症性肠病综合诊疗入选国家重大疾病多学科合作诊疗能力建设项目；顺利完成全球第二例、全国第一例通过体外循环、体外肝切除、自体肝移植、肾静脉切断重建、下腔静脉切除、人工血管移植治疗下腔静脉平滑肌肉瘤切除手术；成功开展亚洲首例进行性肌阵挛性癫痫的脑起搏器植入DBS手术；开展国际上先进的Ⅰ期后路全脊椎肿瘤整块切除术；成功实施华南地区首例达芬奇机器人辅助取肾的亲属活体肾移植术。2018年三级综合医院DRG能力指数排名全省第一。</w:t>
      </w:r>
    </w:p>
    <w:p>
      <w:pPr>
        <w:keepNext w:val="0"/>
        <w:keepLines w:val="0"/>
        <w:pageBreakBefore w:val="0"/>
        <w:widowControl w:val="0"/>
        <w:kinsoku/>
        <w:wordWrap/>
        <w:overflowPunct/>
        <w:topLinePunct w:val="0"/>
        <w:autoSpaceDE/>
        <w:autoSpaceDN/>
        <w:bidi w:val="0"/>
        <w:spacing w:line="560" w:lineRule="exact"/>
        <w:ind w:firstLine="675"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pacing w:val="8"/>
          <w:sz w:val="32"/>
          <w:szCs w:val="32"/>
          <w:lang w:val="en-US" w:eastAsia="zh-CN"/>
        </w:rPr>
        <w:t>二是</w:t>
      </w:r>
      <w:r>
        <w:rPr>
          <w:rFonts w:hint="default" w:ascii="Times New Roman" w:hAnsi="Times New Roman" w:eastAsia="仿宋_GB2312" w:cs="Times New Roman"/>
          <w:b w:val="0"/>
          <w:bCs w:val="0"/>
          <w:spacing w:val="8"/>
          <w:sz w:val="32"/>
          <w:szCs w:val="32"/>
        </w:rPr>
        <w:t>强化高水平科研平台建设</w:t>
      </w:r>
      <w:r>
        <w:rPr>
          <w:rFonts w:hint="default" w:ascii="Times New Roman" w:hAnsi="Times New Roman" w:eastAsia="仿宋_GB2312" w:cs="Times New Roman"/>
          <w:b w:val="0"/>
          <w:bCs w:val="0"/>
          <w:spacing w:val="8"/>
          <w:sz w:val="32"/>
          <w:szCs w:val="32"/>
          <w:lang w:eastAsia="zh-CN"/>
        </w:rPr>
        <w:t>，</w:t>
      </w:r>
      <w:r>
        <w:rPr>
          <w:rFonts w:hint="default" w:ascii="Times New Roman" w:hAnsi="Times New Roman" w:eastAsia="仿宋_GB2312" w:cs="Times New Roman"/>
          <w:b w:val="0"/>
          <w:bCs w:val="0"/>
          <w:spacing w:val="8"/>
          <w:sz w:val="32"/>
          <w:szCs w:val="32"/>
        </w:rPr>
        <w:t>高水平研究成果大获全胜。</w:t>
      </w:r>
      <w:r>
        <w:rPr>
          <w:rFonts w:hint="default" w:ascii="Times New Roman" w:hAnsi="Times New Roman" w:eastAsia="仿宋_GB2312" w:cs="Times New Roman"/>
          <w:bCs/>
          <w:snapToGrid w:val="0"/>
          <w:kern w:val="0"/>
          <w:sz w:val="32"/>
          <w:szCs w:val="32"/>
        </w:rPr>
        <w:t>依托丰富的临床资源，瞄准国际发展前沿，充分发挥医院综合优势，全力打造基础与临床研究集成的一体化精准医学大科学中心</w:t>
      </w:r>
      <w:r>
        <w:rPr>
          <w:rFonts w:hint="default" w:ascii="Times New Roman" w:hAnsi="Times New Roman" w:eastAsia="仿宋_GB2312" w:cs="Times New Roman"/>
          <w:bCs/>
          <w:snapToGrid w:val="0"/>
          <w:kern w:val="0"/>
          <w:sz w:val="32"/>
          <w:szCs w:val="32"/>
          <w:lang w:eastAsia="zh-CN"/>
        </w:rPr>
        <w:t>（</w:t>
      </w:r>
      <w:r>
        <w:rPr>
          <w:rFonts w:hint="default" w:ascii="Times New Roman" w:hAnsi="Times New Roman" w:eastAsia="仿宋_GB2312" w:cs="Times New Roman"/>
          <w:bCs/>
          <w:snapToGrid w:val="0"/>
          <w:kern w:val="0"/>
          <w:sz w:val="32"/>
          <w:szCs w:val="32"/>
          <w:lang w:val="en-US" w:eastAsia="zh-CN"/>
        </w:rPr>
        <w:t>见表5</w:t>
      </w:r>
      <w:r>
        <w:rPr>
          <w:rFonts w:hint="default" w:ascii="Times New Roman" w:hAnsi="Times New Roman" w:eastAsia="仿宋_GB2312" w:cs="Times New Roman"/>
          <w:bCs/>
          <w:snapToGrid w:val="0"/>
          <w:kern w:val="0"/>
          <w:sz w:val="32"/>
          <w:szCs w:val="32"/>
          <w:lang w:eastAsia="zh-CN"/>
        </w:rPr>
        <w:t>）</w:t>
      </w:r>
      <w:r>
        <w:rPr>
          <w:rFonts w:hint="default" w:ascii="Times New Roman" w:hAnsi="Times New Roman" w:eastAsia="仿宋_GB2312" w:cs="Times New Roman"/>
          <w:bCs/>
          <w:snapToGrid w:val="0"/>
          <w:kern w:val="0"/>
          <w:sz w:val="32"/>
          <w:szCs w:val="32"/>
          <w:lang w:val="en-US" w:eastAsia="zh-CN"/>
        </w:rPr>
        <w:t>。</w:t>
      </w:r>
      <w:r>
        <w:rPr>
          <w:rFonts w:hint="default" w:ascii="Times New Roman" w:hAnsi="Times New Roman" w:eastAsia="仿宋_GB2312" w:cs="Times New Roman"/>
          <w:sz w:val="32"/>
          <w:szCs w:val="32"/>
        </w:rPr>
        <w:t>通过高水平医院建设，第一批医院获得国家级别的项目资助357项，第二批医院353项，前两批医院发表SCI文章达4600篇，项目完成率达100%。</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b/>
          <w:bCs/>
          <w:sz w:val="32"/>
          <w:szCs w:val="32"/>
        </w:rPr>
        <w:t>国家级项目立项</w:t>
      </w:r>
      <w:r>
        <w:rPr>
          <w:rFonts w:hint="default" w:ascii="Times New Roman" w:hAnsi="Times New Roman" w:eastAsia="仿宋_GB2312" w:cs="Times New Roman"/>
          <w:b/>
          <w:bCs/>
          <w:sz w:val="32"/>
          <w:szCs w:val="32"/>
          <w:lang w:val="en-US" w:eastAsia="zh-CN"/>
        </w:rPr>
        <w:t>方面，</w:t>
      </w:r>
      <w:r>
        <w:rPr>
          <w:rFonts w:hint="default" w:ascii="Times New Roman" w:hAnsi="Times New Roman" w:eastAsia="仿宋_GB2312" w:cs="Times New Roman"/>
          <w:sz w:val="32"/>
          <w:szCs w:val="32"/>
        </w:rPr>
        <w:t>获批国家级项目立项数、资金、质量均创新高，以首席科学家单位获批国家重点研发计划8项、以课题组长参与国家重点研发计划项目18项。30家医院获批国家自然科学基金681项，本年度斩获省市级基金516项。</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b/>
          <w:bCs/>
          <w:sz w:val="32"/>
          <w:szCs w:val="32"/>
        </w:rPr>
        <w:t>学术</w:t>
      </w:r>
      <w:r>
        <w:rPr>
          <w:rFonts w:hint="default" w:ascii="Times New Roman" w:hAnsi="Times New Roman" w:eastAsia="仿宋_GB2312" w:cs="Times New Roman"/>
          <w:b/>
          <w:bCs/>
          <w:sz w:val="32"/>
          <w:szCs w:val="32"/>
          <w:lang w:val="en-US" w:eastAsia="zh-CN"/>
        </w:rPr>
        <w:t>科研</w:t>
      </w:r>
      <w:r>
        <w:rPr>
          <w:rFonts w:hint="default" w:ascii="Times New Roman" w:hAnsi="Times New Roman" w:eastAsia="仿宋_GB2312" w:cs="Times New Roman"/>
          <w:b/>
          <w:bCs/>
          <w:sz w:val="32"/>
          <w:szCs w:val="32"/>
        </w:rPr>
        <w:t>论文产出</w:t>
      </w:r>
      <w:r>
        <w:rPr>
          <w:rFonts w:hint="default" w:ascii="Times New Roman" w:hAnsi="Times New Roman" w:eastAsia="仿宋_GB2312" w:cs="Times New Roman"/>
          <w:b/>
          <w:bCs/>
          <w:sz w:val="32"/>
          <w:szCs w:val="32"/>
          <w:lang w:val="en-US" w:eastAsia="zh-CN"/>
        </w:rPr>
        <w:t>方面，</w:t>
      </w:r>
      <w:r>
        <w:rPr>
          <w:rFonts w:hint="default" w:ascii="Times New Roman" w:hAnsi="Times New Roman" w:eastAsia="仿宋_GB2312" w:cs="Times New Roman"/>
          <w:sz w:val="32"/>
          <w:szCs w:val="32"/>
        </w:rPr>
        <w:t>学术论文产出</w:t>
      </w:r>
      <w:r>
        <w:rPr>
          <w:rFonts w:hint="default" w:ascii="Times New Roman" w:hAnsi="Times New Roman" w:eastAsia="仿宋_GB2312" w:cs="Times New Roman"/>
          <w:sz w:val="32"/>
          <w:szCs w:val="32"/>
          <w:lang w:val="en-US" w:eastAsia="zh-CN"/>
        </w:rPr>
        <w:t>较去年上升显著</w:t>
      </w:r>
      <w:r>
        <w:rPr>
          <w:rFonts w:hint="default" w:ascii="Times New Roman" w:hAnsi="Times New Roman" w:eastAsia="仿宋_GB2312" w:cs="Times New Roman"/>
          <w:sz w:val="32"/>
          <w:szCs w:val="32"/>
        </w:rPr>
        <w:t>：30家医院共发表SCI论文4804篇，其中影响因子&gt;10分318篇，发表SCI论文</w:t>
      </w:r>
      <w:r>
        <w:rPr>
          <w:rFonts w:hint="default" w:ascii="Times New Roman" w:hAnsi="Times New Roman" w:eastAsia="仿宋_GB2312" w:cs="Times New Roman"/>
          <w:sz w:val="32"/>
          <w:szCs w:val="32"/>
          <w:lang w:val="en-US" w:eastAsia="zh-CN"/>
        </w:rPr>
        <w:t>篇数</w:t>
      </w:r>
      <w:r>
        <w:rPr>
          <w:rFonts w:hint="default" w:ascii="Times New Roman" w:hAnsi="Times New Roman" w:eastAsia="仿宋_GB2312" w:cs="Times New Roman"/>
          <w:sz w:val="32"/>
          <w:szCs w:val="32"/>
        </w:rPr>
        <w:t>居首位的是中山大学附属第一医院，发表SCI</w:t>
      </w:r>
      <w:r>
        <w:rPr>
          <w:rFonts w:hint="default" w:ascii="Times New Roman" w:hAnsi="Times New Roman" w:eastAsia="仿宋_GB2312" w:cs="Times New Roman"/>
          <w:sz w:val="32"/>
          <w:szCs w:val="32"/>
          <w:lang w:val="en-US" w:eastAsia="zh-CN"/>
        </w:rPr>
        <w:t>论文IF大于10分的</w:t>
      </w:r>
      <w:r>
        <w:rPr>
          <w:rFonts w:hint="default" w:ascii="Times New Roman" w:hAnsi="Times New Roman" w:eastAsia="仿宋_GB2312" w:cs="Times New Roman"/>
          <w:sz w:val="32"/>
          <w:szCs w:val="32"/>
        </w:rPr>
        <w:t>高水平</w:t>
      </w:r>
      <w:r>
        <w:rPr>
          <w:rFonts w:hint="default" w:ascii="Times New Roman" w:hAnsi="Times New Roman" w:eastAsia="仿宋_GB2312" w:cs="Times New Roman"/>
          <w:sz w:val="32"/>
          <w:szCs w:val="32"/>
          <w:lang w:val="en-US" w:eastAsia="zh-CN"/>
        </w:rPr>
        <w:t>论文数量</w:t>
      </w:r>
      <w:r>
        <w:rPr>
          <w:rFonts w:hint="default" w:ascii="Times New Roman" w:hAnsi="Times New Roman" w:eastAsia="仿宋_GB2312" w:cs="Times New Roman"/>
          <w:sz w:val="32"/>
          <w:szCs w:val="32"/>
        </w:rPr>
        <w:t>最多的是中山大学肿瘤医院</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b/>
          <w:bCs/>
          <w:sz w:val="32"/>
          <w:szCs w:val="32"/>
        </w:rPr>
        <w:t>科技奖</w:t>
      </w:r>
      <w:r>
        <w:rPr>
          <w:rFonts w:hint="default" w:ascii="Times New Roman" w:hAnsi="Times New Roman" w:eastAsia="仿宋_GB2312" w:cs="Times New Roman"/>
          <w:b/>
          <w:bCs/>
          <w:sz w:val="32"/>
          <w:szCs w:val="32"/>
          <w:lang w:val="en-US" w:eastAsia="zh-CN"/>
        </w:rPr>
        <w:t>方面</w:t>
      </w:r>
      <w:r>
        <w:rPr>
          <w:rFonts w:hint="default" w:ascii="Times New Roman" w:hAnsi="Times New Roman" w:eastAsia="仿宋_GB2312" w:cs="Times New Roman"/>
          <w:sz w:val="32"/>
          <w:szCs w:val="32"/>
          <w:lang w:val="en-US" w:eastAsia="zh-CN"/>
        </w:rPr>
        <w:t>，30家高水平</w:t>
      </w:r>
      <w:r>
        <w:rPr>
          <w:rFonts w:hint="default" w:ascii="Times New Roman" w:hAnsi="Times New Roman" w:eastAsia="仿宋_GB2312" w:cs="Times New Roman"/>
          <w:sz w:val="32"/>
          <w:szCs w:val="32"/>
        </w:rPr>
        <w:t>医院获批国家、省、市科技奖121项，其中国家科技奖5项，省部级等奖43项，市级奖项78项。</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b/>
          <w:bCs/>
          <w:sz w:val="32"/>
          <w:szCs w:val="32"/>
          <w:lang w:val="en-US" w:eastAsia="zh-CN"/>
        </w:rPr>
        <w:t>专利技术及转化方面，</w:t>
      </w:r>
      <w:r>
        <w:rPr>
          <w:rFonts w:hint="default" w:ascii="Times New Roman" w:hAnsi="Times New Roman" w:eastAsia="仿宋_GB2312" w:cs="Times New Roman"/>
          <w:sz w:val="32"/>
          <w:szCs w:val="32"/>
        </w:rPr>
        <w:t>目前授权的</w:t>
      </w:r>
      <w:r>
        <w:rPr>
          <w:rFonts w:hint="default" w:ascii="Times New Roman" w:hAnsi="Times New Roman" w:eastAsia="仿宋_GB2312" w:cs="Times New Roman"/>
          <w:sz w:val="32"/>
          <w:szCs w:val="32"/>
          <w:lang w:val="en-US" w:eastAsia="zh-CN"/>
        </w:rPr>
        <w:t>国家级和省市级</w:t>
      </w:r>
      <w:r>
        <w:rPr>
          <w:rFonts w:hint="default" w:ascii="Times New Roman" w:hAnsi="Times New Roman" w:eastAsia="仿宋_GB2312" w:cs="Times New Roman"/>
          <w:sz w:val="32"/>
          <w:szCs w:val="32"/>
        </w:rPr>
        <w:t>专利633项，其中已经完成转化的有中山大学附属第一医院的“多器官功能修复系统保存装置”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该专利</w:t>
      </w:r>
      <w:r>
        <w:rPr>
          <w:rFonts w:hint="default" w:ascii="Times New Roman" w:hAnsi="Times New Roman" w:eastAsia="仿宋_GB2312" w:cs="Times New Roman"/>
          <w:sz w:val="32"/>
          <w:szCs w:val="32"/>
        </w:rPr>
        <w:t>已于2018年成功实施专利转化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广东省中医院的“治疗银屑病中药新药和肤止痒方”实现技术转让，金额达 1500 万元，广州医科大学附属第一医院实施成果转化2项，产出经济效益金额302万元等</w:t>
      </w:r>
      <w:r>
        <w:rPr>
          <w:rFonts w:hint="default" w:ascii="Times New Roman" w:hAnsi="Times New Roman" w:eastAsia="仿宋_GB2312" w:cs="Times New Roman"/>
          <w:sz w:val="32"/>
          <w:szCs w:val="32"/>
          <w:lang w:eastAsia="zh-CN"/>
        </w:rPr>
        <w:t>。</w:t>
      </w:r>
    </w:p>
    <w:p>
      <w:pPr>
        <w:pStyle w:val="15"/>
        <w:keepNext w:val="0"/>
        <w:keepLines w:val="0"/>
        <w:pageBreakBefore w:val="0"/>
        <w:widowControl w:val="0"/>
        <w:kinsoku/>
        <w:wordWrap/>
        <w:overflowPunct/>
        <w:topLinePunct w:val="0"/>
        <w:autoSpaceDE/>
        <w:autoSpaceDN/>
        <w:bidi w:val="0"/>
        <w:adjustRightInd/>
        <w:snapToGrid/>
        <w:spacing w:before="0" w:beforeLines="0" w:after="157" w:afterLines="50" w:line="420" w:lineRule="exact"/>
        <w:ind w:firstLine="0" w:firstLineChars="0"/>
        <w:jc w:val="center"/>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表5：2019年30家高水平医院产出个性化指标</w:t>
      </w:r>
    </w:p>
    <w:tbl>
      <w:tblPr>
        <w:tblStyle w:val="12"/>
        <w:tblW w:w="8868" w:type="dxa"/>
        <w:jc w:val="center"/>
        <w:tblInd w:w="0" w:type="dxa"/>
        <w:tblLayout w:type="fixed"/>
        <w:tblCellMar>
          <w:top w:w="0" w:type="dxa"/>
          <w:left w:w="0" w:type="dxa"/>
          <w:bottom w:w="0" w:type="dxa"/>
          <w:right w:w="0" w:type="dxa"/>
        </w:tblCellMar>
      </w:tblPr>
      <w:tblGrid>
        <w:gridCol w:w="5394"/>
        <w:gridCol w:w="3474"/>
      </w:tblGrid>
      <w:tr>
        <w:tblPrEx>
          <w:tblLayout w:type="fixed"/>
          <w:tblCellMar>
            <w:top w:w="0" w:type="dxa"/>
            <w:left w:w="0" w:type="dxa"/>
            <w:bottom w:w="0" w:type="dxa"/>
            <w:right w:w="0" w:type="dxa"/>
          </w:tblCellMar>
        </w:tblPrEx>
        <w:trPr>
          <w:trHeight w:val="90" w:hRule="atLeast"/>
          <w:tblHeader/>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rPr>
                <w:rFonts w:hint="default" w:ascii="Times New Roman" w:hAnsi="Times New Roman" w:eastAsia="仿宋_GB2312" w:cs="Times New Roman"/>
                <w:b/>
                <w:i w:val="0"/>
                <w:color w:val="000000"/>
                <w:sz w:val="28"/>
                <w:szCs w:val="28"/>
                <w:u w:val="none"/>
                <w:lang w:val="en-US" w:eastAsia="zh-CN"/>
              </w:rPr>
            </w:pPr>
            <w:r>
              <w:rPr>
                <w:rFonts w:hint="default" w:ascii="Times New Roman" w:hAnsi="Times New Roman" w:eastAsia="仿宋_GB2312" w:cs="Times New Roman"/>
                <w:b/>
                <w:i w:val="0"/>
                <w:color w:val="000000"/>
                <w:sz w:val="28"/>
                <w:szCs w:val="28"/>
                <w:u w:val="none"/>
                <w:lang w:val="en-US" w:eastAsia="zh-CN"/>
              </w:rPr>
              <w:t>个性化指标</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8"/>
                <w:szCs w:val="28"/>
                <w:u w:val="none"/>
                <w:lang w:val="en-US" w:eastAsia="zh-CN" w:bidi="ar"/>
              </w:rPr>
            </w:pPr>
            <w:r>
              <w:rPr>
                <w:rFonts w:hint="default" w:ascii="Times New Roman" w:hAnsi="Times New Roman" w:eastAsia="仿宋_GB2312" w:cs="Times New Roman"/>
                <w:b/>
                <w:i w:val="0"/>
                <w:color w:val="000000"/>
                <w:sz w:val="28"/>
                <w:szCs w:val="28"/>
                <w:u w:val="none"/>
                <w:lang w:val="en-US" w:eastAsia="zh-CN"/>
              </w:rPr>
              <w:t>完成数量</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1.国家级立项项目（重点研发计划、国家科技重大专项、科技创新2030-重大项目和国家自然科学基金重大项目等）</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728项</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2.获得各级获奖项目（含国家科技进步奖、中华医学科技奖、中国中西医学会科学技术奖等）</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121项</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3.省市级立项项目</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516项</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4.国家及省级临床重点专科建设项目</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145个</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5.进入全国专科综合排名前十位的专科（2018年复旦版数据）</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39个</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6.集聚拔尖医学人才</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1967人</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7.SCI收录论文</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4804篇</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8.IF大于10分的论著目标完成率（2019 年数据）</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161篇</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9.专利（实用新型、外观设计和授权专利）申报目标完成率</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633项</w:t>
            </w:r>
          </w:p>
        </w:tc>
      </w:tr>
      <w:tr>
        <w:tblPrEx>
          <w:tblLayout w:type="fixed"/>
          <w:tblCellMar>
            <w:top w:w="0" w:type="dxa"/>
            <w:left w:w="0" w:type="dxa"/>
            <w:bottom w:w="0" w:type="dxa"/>
            <w:right w:w="0" w:type="dxa"/>
          </w:tblCellMar>
        </w:tblPrEx>
        <w:trPr>
          <w:trHeight w:val="90" w:hRule="atLeast"/>
          <w:jc w:val="center"/>
        </w:trPr>
        <w:tc>
          <w:tcPr>
            <w:tcW w:w="539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10. 科技成果转化率</w:t>
            </w:r>
          </w:p>
        </w:tc>
        <w:tc>
          <w:tcPr>
            <w:tcW w:w="3474" w:type="dxa"/>
            <w:tcBorders>
              <w:top w:val="single" w:color="000000" w:sz="8" w:space="0"/>
              <w:left w:val="single" w:color="000000" w:sz="8" w:space="0"/>
              <w:bottom w:val="single" w:color="000000" w:sz="8" w:space="0"/>
              <w:right w:val="single" w:color="000000" w:sz="8" w:space="0"/>
            </w:tcBorders>
            <w:noWrap w:val="0"/>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仿宋_GB2312" w:cs="Times New Roman"/>
                <w:i w:val="0"/>
                <w:color w:val="000000"/>
                <w:kern w:val="0"/>
                <w:sz w:val="28"/>
                <w:szCs w:val="28"/>
                <w:u w:val="none"/>
                <w:lang w:val="en-US" w:eastAsia="zh-CN" w:bidi="ar"/>
              </w:rPr>
              <w:t>6个</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bCs w:val="0"/>
          <w:sz w:val="24"/>
          <w:szCs w:val="24"/>
          <w:lang w:val="en-US" w:eastAsia="zh-CN"/>
        </w:rPr>
      </w:pP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b w:val="0"/>
          <w:bCs w:val="0"/>
          <w:sz w:val="32"/>
          <w:szCs w:val="32"/>
        </w:rPr>
        <w:t>全力培养国内核心骨干，吸引国际人才。</w:t>
      </w:r>
      <w:r>
        <w:rPr>
          <w:rFonts w:hint="default" w:ascii="Times New Roman" w:hAnsi="Times New Roman" w:eastAsia="仿宋_GB2312" w:cs="Times New Roman"/>
          <w:sz w:val="32"/>
          <w:szCs w:val="32"/>
        </w:rPr>
        <w:t>人才培养从2018年第一批建设医院开始，30家医院量体裁衣、筑巢引凤，通过完善科研人才的培育机制，以重视人才，人才带动学科发展为核心，各医院吸引了众多高端人才。到2019年12月31日为止，三批医院共吸引和培育高层次人才1967人，其中国家级人才含国家长江学者、国家杰出青年和科技部万人、千人和百人计划88人，省级人才才151人，吸引国内外博士、博士后超过千人，到国内外高层次机构进修521人，以100%的出色成绩完成各批次医院的预期目标。</w:t>
      </w:r>
      <w:r>
        <w:rPr>
          <w:rFonts w:hint="default" w:ascii="Times New Roman" w:hAnsi="Times New Roman" w:eastAsia="仿宋_GB2312" w:cs="Times New Roman"/>
          <w:sz w:val="32"/>
          <w:szCs w:val="32"/>
          <w:lang w:val="en-US" w:eastAsia="zh-CN"/>
        </w:rPr>
        <w:t>具有历史性代表意义的是，</w:t>
      </w:r>
      <w:r>
        <w:rPr>
          <w:rFonts w:hint="default" w:ascii="Times New Roman" w:hAnsi="Times New Roman" w:eastAsia="仿宋_GB2312" w:cs="Times New Roman"/>
          <w:sz w:val="32"/>
          <w:szCs w:val="32"/>
        </w:rPr>
        <w:t>中山大学孙逸仙纪念医院院长宋尔卫教授当选中国科学院生命科学和医学学部院士两院院士，这是中山大学医科培养的首位两院院士，也广东医疗战线时隔10年唯一新添的1位院士。中山大学附属第三医院通过柔性引才，引进双聘荣誉院士1名；梅州市人民医院设立院士专家工作站，与夏咸柱、于金明院士共建院士专家工作站，参与葛均波、韩雅玲、高润霖等院士主导的多中心进行研究。广东省人民医院余学清教授任国际腹膜透析协会候任主席、亚太肾脏病学会常务理事、亚洲肾脏病联盟主席、《美国肾脏病杂志》编委、《Nephrology》主题编委；钟文昭教授任《Journal of Thoracic Oncology》副主编。同时强化“造血”功能，实施“双青人才”及“后备人才出境遴选”计划，已遴选“杰青”项目人选3人、“优青”项目人选8人、“杰青培育”人才3人、“优青培育 ”人才3人、“后备人才出境遴选”项目11人。</w:t>
      </w:r>
      <w:r>
        <w:rPr>
          <w:rFonts w:hint="default" w:ascii="Times New Roman" w:hAnsi="Times New Roman" w:eastAsia="仿宋_GB2312" w:cs="Times New Roman"/>
          <w:b w:val="0"/>
          <w:bCs w:val="0"/>
          <w:sz w:val="24"/>
          <w:szCs w:val="24"/>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四是</w:t>
      </w:r>
      <w:r>
        <w:rPr>
          <w:rFonts w:hint="default" w:ascii="Times New Roman" w:hAnsi="Times New Roman" w:eastAsia="仿宋_GB2312" w:cs="Times New Roman"/>
          <w:b w:val="0"/>
          <w:bCs w:val="0"/>
          <w:sz w:val="32"/>
          <w:szCs w:val="32"/>
        </w:rPr>
        <w:t>学科建设发展推进顺利，学术地位稳步上升。</w:t>
      </w:r>
      <w:r>
        <w:rPr>
          <w:rFonts w:hint="default" w:ascii="Times New Roman" w:hAnsi="Times New Roman" w:eastAsia="仿宋_GB2312" w:cs="Times New Roman"/>
          <w:sz w:val="32"/>
          <w:szCs w:val="32"/>
        </w:rPr>
        <w:t>我省的专科水平不断上升，经过2019年建设，全省共有294个国家级、省级市级专科、医疗中心和专病中心，其中国家级重点专科有79个，省级重点专科90个，国家级诊疗中心43个，省市级诊疗中心54个。根据2018年中国医院综合排行榜前100名显示，我省有10家医院上榜，分别是中山大学附属第一医院、南方医科大学南方医院、广东省人民医院、广州医科大学附属第一医院、中山大学孙逸仙纪念医院、中山大学附属第三医院、中山大学中山眼科中心、中山大学肿瘤防治中心、中山大学附属口腔医院、广州市妇女儿童医疗中心。中山大学附属第一医院居全国医院排名第六名，有重症医学、耳鼻喉科、超声医学生殖医学等15个国家级的重点专科，排名位较上一年排名上升1名</w:t>
      </w:r>
      <w:r>
        <w:rPr>
          <w:rFonts w:hint="default"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b/>
          <w:bCs w:val="0"/>
          <w:snapToGrid w:val="0"/>
          <w:kern w:val="0"/>
          <w:sz w:val="32"/>
          <w:szCs w:val="32"/>
          <w:lang w:val="en-US" w:eastAsia="zh-CN"/>
        </w:rPr>
        <w:t>五是</w:t>
      </w:r>
      <w:r>
        <w:rPr>
          <w:rFonts w:hint="default" w:ascii="Times New Roman" w:hAnsi="Times New Roman" w:eastAsia="仿宋_GB2312" w:cs="Times New Roman"/>
          <w:sz w:val="32"/>
          <w:szCs w:val="32"/>
        </w:rPr>
        <w:t>30家医院</w:t>
      </w:r>
      <w:r>
        <w:rPr>
          <w:rFonts w:hint="default"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启动智慧医院建设。</w:t>
      </w: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rPr>
        <w:t>广东省人民医院携手中国移动广东公司、华为技术有限公司正式开启了国内政府主导下首家公立医院创建5G应用示范医院的先河，进行了全国首场5G+3D+AI远程心脏手术，建成5G应用智慧病房示范病区。成为广东首批22家互联网上线医院之一，启动应用智慧一站式服务，开通云游粤医APP方便医师浏览患者电子病历、护理记录、检验报告、检查医学影像与报告、医嘱及患者查阅，在远程医疗及大数据、人工智能方面搭建互助共赢的医教研合作平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val="en-US" w:eastAsia="zh-CN"/>
        </w:rPr>
        <w:t>六是</w:t>
      </w:r>
      <w:r>
        <w:rPr>
          <w:rFonts w:hint="default" w:ascii="Times New Roman" w:hAnsi="Times New Roman" w:eastAsia="仿宋_GB2312" w:cs="Times New Roman"/>
          <w:b w:val="0"/>
          <w:bCs w:val="0"/>
          <w:sz w:val="32"/>
          <w:szCs w:val="32"/>
        </w:rPr>
        <w:t>高水平建设医院</w:t>
      </w:r>
      <w:r>
        <w:rPr>
          <w:rFonts w:hint="default" w:ascii="Times New Roman" w:hAnsi="Times New Roman" w:eastAsia="仿宋_GB2312" w:cs="Times New Roman"/>
          <w:b w:val="0"/>
          <w:bCs w:val="0"/>
          <w:sz w:val="32"/>
          <w:szCs w:val="32"/>
          <w:lang w:val="en-US" w:eastAsia="zh-CN"/>
        </w:rPr>
        <w:t>发挥示范引领作用，头雁效应显现。</w:t>
      </w:r>
      <w:r>
        <w:rPr>
          <w:rFonts w:hint="default" w:ascii="Times New Roman" w:hAnsi="Times New Roman" w:eastAsia="仿宋_GB2312" w:cs="Times New Roman"/>
          <w:sz w:val="32"/>
          <w:szCs w:val="32"/>
          <w:lang w:val="en-US" w:eastAsia="zh-CN"/>
        </w:rPr>
        <w:t>2019年，高水平医院</w:t>
      </w:r>
      <w:r>
        <w:rPr>
          <w:rFonts w:hint="default" w:ascii="Times New Roman" w:hAnsi="Times New Roman" w:eastAsia="仿宋_GB2312" w:cs="Times New Roman"/>
          <w:sz w:val="32"/>
          <w:szCs w:val="32"/>
        </w:rPr>
        <w:t>新建立专科专病联盟93个、帮扶基层医院146家、信息一体化紧密型医联体26个、涉及协作医院135个、实施远程医疗协作网26个等。如广州医科大学附属第一医院牵头成立中国呼吸肿瘤协作组中</w:t>
      </w:r>
      <w:r>
        <w:rPr>
          <w:rFonts w:hint="default" w:ascii="Times New Roman" w:hAnsi="Times New Roman" w:eastAsia="仿宋_GB2312" w:cs="Times New Roman"/>
          <w:color w:val="000000"/>
          <w:sz w:val="32"/>
          <w:szCs w:val="32"/>
        </w:rPr>
        <w:t>国肺部真菌病诊治协作组、全国肺康复护理联盟、广东省肺栓塞和深静脉血栓防治联盟、成立广东省胸部疾病学会肿瘤急危重症专业委员会、日间手术联盟，中国咳嗽联盟成员单位扩展至111个，来自30个省市自治区呼吸、儿科、耳鼻咽喉、中医与基础医学等相关学科。在省内推广肺癌普查项目，提高肺癌的早诊、早治。牵头开展中国咳嗽指南推广万里行(2017-2019)，2017-2019年，中国咳嗽指南全国巡讲活动先后在81座城市举办了92场次，参会单位3818个，实际参会人数11868人。牵头开展肺功能指南推广</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肺功能检查规范化培训万里行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牵头建立国家卫健委慢性病综合防控示范区</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 xml:space="preserve"> 肺功能检查适宜技术支持推广平台。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i w:val="0"/>
          <w:color w:val="auto"/>
          <w:kern w:val="0"/>
          <w:sz w:val="32"/>
          <w:szCs w:val="32"/>
          <w:u w:val="none"/>
          <w:lang w:val="en-US" w:eastAsia="zh-CN" w:bidi="ar"/>
        </w:rPr>
        <w:t>七是</w:t>
      </w:r>
      <w:r>
        <w:rPr>
          <w:rFonts w:hint="default" w:ascii="Times New Roman" w:hAnsi="Times New Roman" w:eastAsia="仿宋_GB2312" w:cs="Times New Roman"/>
          <w:b w:val="0"/>
          <w:bCs w:val="0"/>
          <w:i w:val="0"/>
          <w:color w:val="auto"/>
          <w:kern w:val="0"/>
          <w:sz w:val="32"/>
          <w:szCs w:val="32"/>
          <w:u w:val="none"/>
          <w:lang w:val="en-US" w:eastAsia="zh-CN" w:bidi="ar"/>
        </w:rPr>
        <w:t>高水平建设医院在</w:t>
      </w:r>
      <w:r>
        <w:rPr>
          <w:rFonts w:hint="default" w:ascii="Times New Roman" w:hAnsi="Times New Roman" w:eastAsia="仿宋_GB2312" w:cs="Times New Roman"/>
          <w:b w:val="0"/>
          <w:bCs w:val="0"/>
          <w:sz w:val="32"/>
          <w:szCs w:val="32"/>
        </w:rPr>
        <w:t>抗击新型冠状病毒肺炎疫情</w:t>
      </w:r>
      <w:r>
        <w:rPr>
          <w:rFonts w:hint="default" w:ascii="Times New Roman" w:hAnsi="Times New Roman" w:eastAsia="仿宋_GB2312" w:cs="Times New Roman"/>
          <w:b w:val="0"/>
          <w:bCs w:val="0"/>
          <w:sz w:val="32"/>
          <w:szCs w:val="32"/>
          <w:lang w:val="en-US" w:eastAsia="zh-CN"/>
        </w:rPr>
        <w:t>中作出突出贡献</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广东省30家高水平建设医院积极响应国家号召，承担了我省和区域重大公共卫生医疗救治任务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截至2020年3月31日，派到武汉和湖北的医护人员累计达到了1104人，最早的医疗队于1月24日除夕当天启程，接管重症病区、重症病房和方舱医院，全力开展医疗救治工作，有效提高了治愈率，降低了病死率，取得了援助医院清零、医护人员零感染、病人零死亡等硕果。广东省人民医院、广州医科大学附属第一医院、香港大学深圳医院和汕头大学医学院分别承担了定点收治的任务，发热门诊接诊患者累计超过4000人，确诊64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深圳市第三人民医院除湖北外是全国</w:t>
      </w:r>
      <w:r>
        <w:rPr>
          <w:rFonts w:hint="default" w:ascii="Times New Roman" w:hAnsi="Times New Roman" w:eastAsia="仿宋_GB2312" w:cs="Times New Roman"/>
          <w:sz w:val="32"/>
          <w:szCs w:val="32"/>
          <w:lang w:eastAsia="zh-CN"/>
        </w:rPr>
        <w:t>唯一</w:t>
      </w:r>
      <w:r>
        <w:rPr>
          <w:rFonts w:hint="default" w:ascii="Times New Roman" w:hAnsi="Times New Roman" w:eastAsia="仿宋_GB2312" w:cs="Times New Roman"/>
          <w:sz w:val="32"/>
          <w:szCs w:val="32"/>
        </w:rPr>
        <w:t>收治425例新冠肺炎确诊患者</w:t>
      </w:r>
      <w:r>
        <w:rPr>
          <w:rFonts w:hint="default" w:ascii="Times New Roman" w:hAnsi="Times New Roman" w:eastAsia="仿宋_GB2312" w:cs="Times New Roman"/>
          <w:sz w:val="32"/>
          <w:szCs w:val="32"/>
          <w:lang w:eastAsia="zh-CN"/>
        </w:rPr>
        <w:t>的医院</w:t>
      </w:r>
      <w:r>
        <w:rPr>
          <w:rFonts w:hint="default" w:ascii="Times New Roman" w:hAnsi="Times New Roman" w:eastAsia="仿宋_GB2312" w:cs="Times New Roman"/>
          <w:sz w:val="32"/>
          <w:szCs w:val="32"/>
        </w:rPr>
        <w:t>。肇庆市第一人民医院截至1月22日发热门诊共接诊患者6809人，检验科完成新冠病毒核酸检测24896次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olor w:val="auto"/>
          <w:kern w:val="0"/>
          <w:sz w:val="32"/>
          <w:szCs w:val="32"/>
          <w:u w:val="none"/>
          <w:lang w:val="en-US" w:eastAsia="zh-CN" w:bidi="ar"/>
        </w:rPr>
        <w:t>高水平医院</w:t>
      </w:r>
      <w:r>
        <w:rPr>
          <w:rFonts w:hint="default" w:ascii="Times New Roman" w:hAnsi="Times New Roman" w:eastAsia="仿宋_GB2312" w:cs="Times New Roman"/>
          <w:sz w:val="32"/>
          <w:szCs w:val="32"/>
        </w:rPr>
        <w:t>无聚集性病例发生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实现了新冠肺炎确诊病例0死亡，参加抗疫全体医务人员0感染。</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2"/>
          <w:szCs w:val="32"/>
          <w:lang w:val="en-US" w:eastAsia="zh-CN"/>
        </w:rPr>
        <w:t>八是</w:t>
      </w:r>
      <w:r>
        <w:rPr>
          <w:rFonts w:hint="default" w:ascii="Times New Roman" w:hAnsi="Times New Roman" w:eastAsia="仿宋_GB2312" w:cs="Times New Roman"/>
          <w:b w:val="0"/>
          <w:bCs w:val="0"/>
          <w:sz w:val="32"/>
          <w:szCs w:val="32"/>
          <w:lang w:val="en-US" w:eastAsia="zh-CN"/>
        </w:rPr>
        <w:t>高水平医院</w:t>
      </w:r>
      <w:r>
        <w:rPr>
          <w:rFonts w:hint="default" w:ascii="Times New Roman" w:hAnsi="Times New Roman" w:eastAsia="仿宋_GB2312" w:cs="Times New Roman"/>
          <w:sz w:val="32"/>
          <w:szCs w:val="32"/>
        </w:rPr>
        <w:t>就诊人员的总体满意率较高</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sz w:val="32"/>
          <w:szCs w:val="32"/>
        </w:rPr>
        <w:t>围绕高水平医院方案中的前沿医疗技术、拔尖人才、学科科研和创新管理体制等建设任务，</w:t>
      </w:r>
      <w:r>
        <w:rPr>
          <w:rFonts w:hint="default" w:ascii="Times New Roman" w:hAnsi="Times New Roman" w:eastAsia="仿宋_GB2312" w:cs="Times New Roman"/>
          <w:sz w:val="32"/>
          <w:szCs w:val="32"/>
          <w:lang w:val="en-US" w:eastAsia="zh-CN"/>
        </w:rPr>
        <w:t>我委对高水平医院的</w:t>
      </w:r>
      <w:r>
        <w:rPr>
          <w:rFonts w:hint="default" w:ascii="Times New Roman" w:hAnsi="Times New Roman" w:eastAsia="仿宋_GB2312" w:cs="Times New Roman"/>
          <w:sz w:val="32"/>
          <w:szCs w:val="32"/>
        </w:rPr>
        <w:t>就诊人员组织高水平医院分阶段分批完成在线问卷调查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满意度调查结果为</w:t>
      </w:r>
      <w:r>
        <w:rPr>
          <w:rFonts w:hint="default" w:ascii="Times New Roman" w:hAnsi="Times New Roman" w:eastAsia="仿宋_GB2312" w:cs="Times New Roman"/>
          <w:sz w:val="32"/>
          <w:szCs w:val="32"/>
        </w:rPr>
        <w:t>92.72%。</w:t>
      </w:r>
      <w:r>
        <w:rPr>
          <w:rFonts w:hint="default" w:ascii="Times New Roman" w:hAnsi="Times New Roman" w:eastAsia="仿宋_GB2312" w:cs="Times New Roman"/>
          <w:sz w:val="32"/>
          <w:szCs w:val="32"/>
          <w:highlight w:val="none"/>
        </w:rPr>
        <w:t>三批高水平医院的门诊、住院和患者总体满意率均超过90%，但对于医院被评为高水平医院的知晓率较低，为80.34%。</w:t>
      </w:r>
    </w:p>
    <w:p>
      <w:pPr>
        <w:pStyle w:val="6"/>
        <w:keepNext w:val="0"/>
        <w:keepLines w:val="0"/>
        <w:pageBreakBefore w:val="0"/>
        <w:widowControl w:val="0"/>
        <w:kinsoku/>
        <w:wordWrap/>
        <w:overflowPunct/>
        <w:topLinePunct w:val="0"/>
        <w:autoSpaceDE/>
        <w:autoSpaceDN/>
        <w:bidi w:val="0"/>
        <w:adjustRightInd/>
        <w:snapToGrid w:val="0"/>
        <w:spacing w:line="500" w:lineRule="exact"/>
        <w:ind w:firstLine="643" w:firstLineChars="200"/>
        <w:jc w:val="both"/>
        <w:textAlignment w:val="auto"/>
        <w:rPr>
          <w:rFonts w:hint="default" w:ascii="Times New Roman" w:hAnsi="Times New Roman" w:eastAsia="仿宋_GB2312" w:cs="Times New Roman"/>
          <w:i w:val="0"/>
          <w:color w:val="auto"/>
          <w:kern w:val="0"/>
          <w:sz w:val="32"/>
          <w:szCs w:val="32"/>
          <w:u w:val="none"/>
          <w:lang w:val="en-US" w:eastAsia="zh-CN" w:bidi="ar"/>
        </w:rPr>
      </w:pPr>
      <w:r>
        <w:rPr>
          <w:rFonts w:hint="default" w:ascii="Times New Roman" w:hAnsi="Times New Roman" w:eastAsia="仿宋_GB2312" w:cs="Times New Roman"/>
          <w:b/>
          <w:bCs/>
          <w:i w:val="0"/>
          <w:color w:val="auto"/>
          <w:kern w:val="0"/>
          <w:sz w:val="32"/>
          <w:szCs w:val="32"/>
          <w:u w:val="none"/>
          <w:lang w:val="en-US" w:eastAsia="zh-CN" w:bidi="ar"/>
        </w:rPr>
        <w:t>（2）公立医院取消药品加成财政补偿</w:t>
      </w:r>
      <w:r>
        <w:rPr>
          <w:rFonts w:hint="default" w:ascii="Times New Roman" w:hAnsi="Times New Roman" w:eastAsia="仿宋_GB2312" w:cs="Times New Roman"/>
          <w:b/>
          <w:bCs/>
          <w:sz w:val="32"/>
          <w:szCs w:val="32"/>
        </w:rPr>
        <w:t>专项资金使用绩效</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i w:val="0"/>
          <w:color w:val="auto"/>
          <w:kern w:val="0"/>
          <w:sz w:val="32"/>
          <w:szCs w:val="32"/>
          <w:u w:val="none"/>
          <w:lang w:val="en-US" w:eastAsia="zh-CN" w:bidi="ar"/>
        </w:rPr>
        <w:t>2019年，我省公立医院取消药品加成后的财政补偿资金全部足额落实到位，</w:t>
      </w:r>
      <w:r>
        <w:rPr>
          <w:rFonts w:hint="default" w:ascii="Times New Roman" w:hAnsi="Times New Roman" w:eastAsia="仿宋_GB2312" w:cs="Times New Roman"/>
          <w:color w:val="000000"/>
          <w:kern w:val="0"/>
          <w:sz w:val="32"/>
          <w:szCs w:val="32"/>
          <w:lang w:val="en-US" w:eastAsia="zh-CN" w:bidi="ar"/>
        </w:rPr>
        <w:t>维护公立医院公益性同时，有效调动了医务人员的积极性，公立医院运行效率得到提高并</w:t>
      </w:r>
      <w:r>
        <w:rPr>
          <w:rFonts w:hint="default" w:ascii="Times New Roman" w:hAnsi="Times New Roman" w:eastAsia="仿宋_GB2312" w:cs="Times New Roman"/>
          <w:b w:val="0"/>
          <w:bCs w:val="0"/>
          <w:i w:val="0"/>
          <w:color w:val="auto"/>
          <w:kern w:val="0"/>
          <w:sz w:val="32"/>
          <w:szCs w:val="32"/>
          <w:u w:val="none"/>
          <w:lang w:val="en-US" w:eastAsia="zh-CN" w:bidi="ar"/>
        </w:rPr>
        <w:t>趋于良性运行。</w:t>
      </w:r>
      <w:r>
        <w:rPr>
          <w:rFonts w:hint="default" w:ascii="Times New Roman" w:hAnsi="Times New Roman" w:eastAsia="仿宋_GB2312" w:cs="Times New Roman"/>
          <w:color w:val="auto"/>
          <w:kern w:val="2"/>
          <w:sz w:val="32"/>
          <w:szCs w:val="32"/>
          <w:lang w:val="en-US" w:eastAsia="zh-CN" w:bidi="ar-SA"/>
        </w:rPr>
        <w:t>据统计，2018年个人卫生支出占卫生总用比重为25.7%，2019年区域医疗费用增长幅度为13.92%。分级诊疗制度建设成效显现，2019年底，全省县域内住院率84.1%。</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i w:val="0"/>
          <w:color w:val="auto"/>
          <w:kern w:val="0"/>
          <w:sz w:val="32"/>
          <w:szCs w:val="32"/>
          <w:highlight w:val="none"/>
          <w:u w:val="none"/>
          <w:lang w:val="en-US" w:eastAsia="zh-CN" w:bidi="ar"/>
        </w:rPr>
        <w:t>（3）部分项目处于实施过程，最终效果尚未显现。</w:t>
      </w:r>
      <w:r>
        <w:rPr>
          <w:rFonts w:hint="default" w:ascii="Times New Roman" w:hAnsi="Times New Roman" w:eastAsia="仿宋_GB2312" w:cs="Times New Roman"/>
          <w:b w:val="0"/>
          <w:bCs w:val="0"/>
          <w:i w:val="0"/>
          <w:color w:val="auto"/>
          <w:kern w:val="0"/>
          <w:sz w:val="32"/>
          <w:szCs w:val="32"/>
          <w:highlight w:val="none"/>
          <w:u w:val="none"/>
          <w:lang w:val="en-US" w:eastAsia="zh-CN" w:bidi="ar"/>
        </w:rPr>
        <w:t>广州呼吸中心建设项目</w:t>
      </w:r>
      <w:r>
        <w:rPr>
          <w:rFonts w:hint="default" w:ascii="Times New Roman" w:hAnsi="Times New Roman" w:eastAsia="仿宋_GB2312" w:cs="Times New Roman"/>
          <w:b w:val="0"/>
          <w:bCs w:val="0"/>
          <w:sz w:val="32"/>
          <w:szCs w:val="32"/>
          <w:highlight w:val="none"/>
          <w:lang w:val="en-US" w:eastAsia="zh-CN"/>
        </w:rPr>
        <w:t>和</w:t>
      </w:r>
      <w:r>
        <w:rPr>
          <w:rFonts w:hint="default" w:ascii="Times New Roman" w:hAnsi="Times New Roman" w:eastAsia="仿宋_GB2312" w:cs="Times New Roman"/>
          <w:b w:val="0"/>
          <w:bCs w:val="0"/>
          <w:i w:val="0"/>
          <w:color w:val="auto"/>
          <w:kern w:val="0"/>
          <w:sz w:val="32"/>
          <w:szCs w:val="32"/>
          <w:highlight w:val="none"/>
          <w:u w:val="none"/>
          <w:lang w:val="en-US" w:eastAsia="zh-CN" w:bidi="ar"/>
        </w:rPr>
        <w:t>中山大学肿瘤防治中心国家肿瘤医学中心建设项目</w:t>
      </w:r>
      <w:r>
        <w:rPr>
          <w:rFonts w:hint="default" w:ascii="Times New Roman" w:hAnsi="Times New Roman" w:eastAsia="仿宋_GB2312" w:cs="Times New Roman"/>
          <w:b w:val="0"/>
          <w:bCs w:val="0"/>
          <w:sz w:val="32"/>
          <w:szCs w:val="32"/>
          <w:highlight w:val="none"/>
        </w:rPr>
        <w:t>按照实施计划和专项资金绩效目标加快推进</w:t>
      </w:r>
      <w:r>
        <w:rPr>
          <w:rFonts w:hint="default" w:ascii="Times New Roman" w:hAnsi="Times New Roman" w:eastAsia="仿宋_GB2312" w:cs="Times New Roman"/>
          <w:b w:val="0"/>
          <w:bCs w:val="0"/>
          <w:sz w:val="32"/>
          <w:szCs w:val="32"/>
          <w:highlight w:val="none"/>
          <w:lang w:val="en-US" w:eastAsia="zh-CN"/>
        </w:rPr>
        <w:t>过程中，</w:t>
      </w:r>
      <w:r>
        <w:rPr>
          <w:rFonts w:hint="default" w:ascii="Times New Roman" w:hAnsi="Times New Roman" w:eastAsia="仿宋_GB2312" w:cs="Times New Roman"/>
          <w:b w:val="0"/>
          <w:bCs w:val="0"/>
          <w:sz w:val="32"/>
          <w:szCs w:val="32"/>
          <w:highlight w:val="none"/>
        </w:rPr>
        <w:t>使用</w:t>
      </w:r>
      <w:r>
        <w:rPr>
          <w:rFonts w:hint="default" w:ascii="Times New Roman" w:hAnsi="Times New Roman" w:eastAsia="仿宋_GB2312" w:cs="Times New Roman"/>
          <w:b w:val="0"/>
          <w:bCs w:val="0"/>
          <w:sz w:val="32"/>
          <w:szCs w:val="32"/>
          <w:highlight w:val="none"/>
          <w:lang w:eastAsia="zh-CN"/>
        </w:rPr>
        <w:t>最终</w:t>
      </w:r>
      <w:r>
        <w:rPr>
          <w:rFonts w:hint="default" w:ascii="Times New Roman" w:hAnsi="Times New Roman" w:eastAsia="仿宋_GB2312" w:cs="Times New Roman"/>
          <w:b w:val="0"/>
          <w:bCs w:val="0"/>
          <w:sz w:val="32"/>
          <w:szCs w:val="32"/>
          <w:highlight w:val="none"/>
        </w:rPr>
        <w:t>绩效</w:t>
      </w:r>
      <w:r>
        <w:rPr>
          <w:rFonts w:hint="default" w:ascii="Times New Roman" w:hAnsi="Times New Roman" w:eastAsia="仿宋_GB2312" w:cs="Times New Roman"/>
          <w:b w:val="0"/>
          <w:bCs w:val="0"/>
          <w:sz w:val="32"/>
          <w:szCs w:val="32"/>
          <w:highlight w:val="none"/>
          <w:lang w:val="en-US" w:eastAsia="zh-CN"/>
        </w:rPr>
        <w:t>尚未体现，只有过程效果</w:t>
      </w:r>
      <w:r>
        <w:rPr>
          <w:rFonts w:hint="default" w:ascii="Times New Roman" w:hAnsi="Times New Roman" w:eastAsia="仿宋_GB2312" w:cs="Times New Roman"/>
          <w:b w:val="0"/>
          <w:bCs w:val="0"/>
          <w:sz w:val="32"/>
          <w:szCs w:val="32"/>
          <w:highlight w:val="none"/>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Times New Roman" w:hAnsi="Times New Roman" w:eastAsia="楷体_GB2312" w:cs="Times New Roman"/>
          <w:b w:val="0"/>
          <w:bCs/>
          <w:lang w:eastAsia="zh-CN"/>
        </w:rPr>
      </w:pPr>
      <w:bookmarkStart w:id="6" w:name="_Toc11733"/>
      <w:r>
        <w:rPr>
          <w:rFonts w:hint="default" w:ascii="Times New Roman" w:hAnsi="Times New Roman" w:eastAsia="楷体_GB2312" w:cs="Times New Roman"/>
          <w:b w:val="0"/>
          <w:bCs/>
        </w:rPr>
        <w:t>（三）专项资金使用绩效存在的问题</w:t>
      </w:r>
      <w:bookmarkEnd w:id="6"/>
      <w:r>
        <w:rPr>
          <w:rFonts w:hint="default" w:ascii="Times New Roman" w:hAnsi="Times New Roman" w:eastAsia="楷体_GB2312" w:cs="Times New Roman"/>
          <w:b w:val="0"/>
          <w:bCs/>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1、部分项目资金绩效指标有待优化</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绩效目标表</w:t>
      </w:r>
      <w:r>
        <w:rPr>
          <w:rFonts w:hint="default" w:ascii="Times New Roman" w:hAnsi="Times New Roman" w:eastAsia="仿宋_GB2312" w:cs="Times New Roman"/>
          <w:i w:val="0"/>
          <w:caps w:val="0"/>
          <w:color w:val="333333"/>
          <w:spacing w:val="8"/>
          <w:sz w:val="32"/>
          <w:szCs w:val="32"/>
          <w:shd w:val="clear" w:color="auto" w:fill="FFFFFF"/>
        </w:rPr>
        <w:t>可量化的绩效</w:t>
      </w:r>
      <w:r>
        <w:rPr>
          <w:rFonts w:hint="default" w:ascii="Times New Roman" w:hAnsi="Times New Roman" w:eastAsia="仿宋_GB2312" w:cs="Times New Roman"/>
          <w:i w:val="0"/>
          <w:caps w:val="0"/>
          <w:color w:val="333333"/>
          <w:spacing w:val="8"/>
          <w:sz w:val="32"/>
          <w:szCs w:val="32"/>
          <w:shd w:val="clear" w:color="auto" w:fill="FFFFFF"/>
          <w:lang w:val="en-US" w:eastAsia="zh-CN"/>
        </w:rPr>
        <w:t>目标与目标值设置细化不够，部分指标不能全面反映专项资金产出和效果，需要优化。一是</w:t>
      </w:r>
      <w:r>
        <w:rPr>
          <w:rFonts w:hint="default" w:ascii="Times New Roman" w:hAnsi="Times New Roman" w:eastAsia="仿宋_GB2312" w:cs="Times New Roman"/>
          <w:sz w:val="32"/>
          <w:szCs w:val="32"/>
        </w:rPr>
        <w:t>30家</w:t>
      </w:r>
      <w:r>
        <w:rPr>
          <w:rFonts w:hint="default" w:ascii="Times New Roman" w:hAnsi="Times New Roman" w:eastAsia="仿宋_GB2312" w:cs="Times New Roman"/>
          <w:sz w:val="32"/>
          <w:szCs w:val="32"/>
          <w:lang w:val="en-US" w:eastAsia="zh-CN"/>
        </w:rPr>
        <w:t>高水平医院</w:t>
      </w:r>
      <w:r>
        <w:rPr>
          <w:rFonts w:hint="default" w:ascii="Times New Roman" w:hAnsi="Times New Roman" w:eastAsia="仿宋_GB2312" w:cs="Times New Roman"/>
          <w:sz w:val="32"/>
          <w:szCs w:val="32"/>
        </w:rPr>
        <w:t>医院</w:t>
      </w:r>
      <w:r>
        <w:rPr>
          <w:rFonts w:hint="default" w:ascii="Times New Roman" w:hAnsi="Times New Roman" w:eastAsia="仿宋_GB2312" w:cs="Times New Roman"/>
          <w:sz w:val="32"/>
          <w:szCs w:val="32"/>
          <w:lang w:eastAsia="zh-CN"/>
        </w:rPr>
        <w:t>有</w:t>
      </w:r>
      <w:r>
        <w:rPr>
          <w:rFonts w:hint="default" w:ascii="Times New Roman" w:hAnsi="Times New Roman" w:eastAsia="仿宋_GB2312" w:cs="Times New Roman"/>
          <w:sz w:val="32"/>
          <w:szCs w:val="32"/>
        </w:rPr>
        <w:t>超过一半以上的医院只</w:t>
      </w:r>
      <w:r>
        <w:rPr>
          <w:rFonts w:hint="default" w:ascii="Times New Roman" w:hAnsi="Times New Roman" w:eastAsia="仿宋_GB2312" w:cs="Times New Roman"/>
          <w:sz w:val="32"/>
          <w:szCs w:val="32"/>
          <w:lang w:val="en-US" w:eastAsia="zh-CN"/>
        </w:rPr>
        <w:t>设置</w:t>
      </w:r>
      <w:r>
        <w:rPr>
          <w:rFonts w:hint="default" w:ascii="Times New Roman" w:hAnsi="Times New Roman" w:eastAsia="仿宋_GB2312" w:cs="Times New Roman"/>
          <w:sz w:val="32"/>
          <w:szCs w:val="32"/>
        </w:rPr>
        <w:t>目标任务数，任务数的指标未进行细化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绩效目标不够细化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二是广州呼吸中心建设项目虽设置“开展基坑、主体工程、装饰工程施工”的年度目标，但缺少实施进度等具体目标值，影响资金使用绩效量化评价。</w:t>
      </w:r>
    </w:p>
    <w:p>
      <w:pPr>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bCs/>
          <w:sz w:val="32"/>
          <w:szCs w:val="32"/>
          <w:lang w:val="en-US" w:eastAsia="zh-CN"/>
        </w:rPr>
        <w:t>2、预算执行率整体不够高。</w:t>
      </w:r>
      <w:r>
        <w:rPr>
          <w:rFonts w:hint="default" w:ascii="Times New Roman" w:hAnsi="Times New Roman" w:eastAsia="仿宋_GB2312" w:cs="Times New Roman"/>
          <w:sz w:val="32"/>
          <w:szCs w:val="32"/>
          <w:lang w:val="en-US" w:eastAsia="zh-CN"/>
        </w:rPr>
        <w:t>2019年，除高水平医院建设的420000万元资金由各医院自主预算管理，不纳入支出进度考核以外，其他健全现代医院管理制度项目资金预算执行率偏低，</w:t>
      </w:r>
      <w:r>
        <w:rPr>
          <w:rFonts w:hint="default" w:ascii="Times New Roman" w:hAnsi="Times New Roman" w:eastAsia="仿宋_GB2312" w:cs="Times New Roman"/>
          <w:b w:val="0"/>
          <w:bCs/>
          <w:i w:val="0"/>
          <w:color w:val="auto"/>
          <w:kern w:val="0"/>
          <w:sz w:val="32"/>
          <w:szCs w:val="32"/>
          <w:highlight w:val="none"/>
          <w:u w:val="none"/>
          <w:lang w:val="en-US" w:eastAsia="zh-CN" w:bidi="ar"/>
        </w:rPr>
        <w:t>支出率仅67.04%。主要原因是</w:t>
      </w:r>
      <w:r>
        <w:rPr>
          <w:rFonts w:hint="default" w:ascii="Times New Roman" w:hAnsi="Times New Roman" w:eastAsia="仿宋_GB2312" w:cs="Times New Roman"/>
          <w:sz w:val="32"/>
          <w:szCs w:val="32"/>
          <w:highlight w:val="none"/>
          <w:lang w:eastAsia="zh-CN"/>
        </w:rPr>
        <w:t>，一是基建项目建设按进度支付资金影响，如</w:t>
      </w:r>
      <w:r>
        <w:rPr>
          <w:rFonts w:hint="default" w:ascii="Times New Roman" w:hAnsi="Times New Roman" w:eastAsia="仿宋_GB2312" w:cs="Times New Roman"/>
          <w:i w:val="0"/>
          <w:color w:val="auto"/>
          <w:kern w:val="0"/>
          <w:sz w:val="32"/>
          <w:szCs w:val="32"/>
          <w:highlight w:val="none"/>
          <w:u w:val="none"/>
          <w:lang w:val="en-US" w:eastAsia="zh-CN" w:bidi="ar"/>
        </w:rPr>
        <w:t>广州呼吸中心建设项目</w:t>
      </w:r>
      <w:r>
        <w:rPr>
          <w:rFonts w:hint="default" w:ascii="Times New Roman" w:hAnsi="Times New Roman" w:eastAsia="仿宋_GB2312" w:cs="Times New Roman"/>
          <w:color w:val="000000"/>
          <w:sz w:val="32"/>
          <w:szCs w:val="32"/>
          <w:highlight w:val="none"/>
          <w:lang w:val="en-US" w:eastAsia="zh-CN"/>
        </w:rPr>
        <w:t>支出率45.3%</w:t>
      </w:r>
      <w:r>
        <w:rPr>
          <w:rFonts w:hint="default" w:ascii="Times New Roman" w:hAnsi="Times New Roman" w:eastAsia="仿宋_GB2312" w:cs="Times New Roman"/>
          <w:color w:val="000000"/>
          <w:sz w:val="32"/>
          <w:szCs w:val="32"/>
          <w:highlight w:val="none"/>
          <w:lang w:eastAsia="zh-CN"/>
        </w:rPr>
        <w:t>；二是项目资金下达比较晚，如</w:t>
      </w:r>
      <w:r>
        <w:rPr>
          <w:rFonts w:hint="default" w:ascii="Times New Roman" w:hAnsi="Times New Roman" w:eastAsia="仿宋_GB2312" w:cs="Times New Roman"/>
          <w:b w:val="0"/>
          <w:bCs w:val="0"/>
          <w:i w:val="0"/>
          <w:color w:val="auto"/>
          <w:kern w:val="0"/>
          <w:sz w:val="32"/>
          <w:szCs w:val="32"/>
          <w:highlight w:val="none"/>
          <w:u w:val="none"/>
          <w:lang w:val="en-US" w:eastAsia="zh-CN" w:bidi="ar"/>
        </w:rPr>
        <w:t>《广东省财政厅关于安排中山大学肿瘤防治中心国家肿瘤医学中心建设项目省级补助资金的通知》（粤财社</w:t>
      </w:r>
      <w:r>
        <w:rPr>
          <w:rFonts w:hint="default" w:ascii="Times New Roman" w:hAnsi="Times New Roman" w:eastAsia="宋体" w:cs="Times New Roman"/>
          <w:b w:val="0"/>
          <w:bCs w:val="0"/>
          <w:i w:val="0"/>
          <w:color w:val="auto"/>
          <w:kern w:val="0"/>
          <w:sz w:val="32"/>
          <w:szCs w:val="32"/>
          <w:highlight w:val="none"/>
          <w:u w:val="none"/>
          <w:lang w:val="en-US" w:eastAsia="zh-CN" w:bidi="ar"/>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2019</w:t>
      </w:r>
      <w:r>
        <w:rPr>
          <w:rFonts w:hint="default" w:ascii="Times New Roman" w:hAnsi="Times New Roman" w:eastAsia="宋体" w:cs="Times New Roman"/>
          <w:b w:val="0"/>
          <w:bCs w:val="0"/>
          <w:i w:val="0"/>
          <w:color w:val="auto"/>
          <w:kern w:val="0"/>
          <w:sz w:val="32"/>
          <w:szCs w:val="32"/>
          <w:highlight w:val="none"/>
          <w:u w:val="none"/>
          <w:lang w:val="en-US" w:eastAsia="zh-CN" w:bidi="ar"/>
        </w:rPr>
        <w:t>〕</w:t>
      </w:r>
      <w:r>
        <w:rPr>
          <w:rFonts w:hint="default" w:ascii="Times New Roman" w:hAnsi="Times New Roman" w:eastAsia="仿宋_GB2312" w:cs="Times New Roman"/>
          <w:b w:val="0"/>
          <w:bCs w:val="0"/>
          <w:i w:val="0"/>
          <w:color w:val="auto"/>
          <w:kern w:val="0"/>
          <w:sz w:val="32"/>
          <w:szCs w:val="32"/>
          <w:highlight w:val="none"/>
          <w:u w:val="none"/>
          <w:lang w:val="en-US" w:eastAsia="zh-CN" w:bidi="ar"/>
        </w:rPr>
        <w:t>304号）于2019年12月26日下达中山大学肿瘤防治中心国家肿瘤医学中心建设项目省级补助资金10000万元，因资金下达比较晚，中山大学肿瘤防治中心国家肿瘤医学中心建设项目支出率仅仅22.86%。</w:t>
      </w:r>
      <w:r>
        <w:rPr>
          <w:rFonts w:hint="default" w:ascii="Times New Roman" w:hAnsi="Times New Roman" w:eastAsia="仿宋_GB2312" w:cs="Times New Roman"/>
          <w:color w:val="000000"/>
          <w:kern w:val="0"/>
          <w:sz w:val="32"/>
          <w:szCs w:val="32"/>
          <w:lang w:val="en-US" w:eastAsia="zh-CN" w:bidi="ar"/>
        </w:rPr>
        <w:t>资金使用效率有待进一步提高。</w:t>
      </w:r>
    </w:p>
    <w:p>
      <w:pPr>
        <w:pStyle w:val="3"/>
        <w:pageBreakBefore w:val="0"/>
        <w:widowControl w:val="0"/>
        <w:kinsoku/>
        <w:wordWrap/>
        <w:overflowPunct/>
        <w:topLinePunct w:val="0"/>
        <w:autoSpaceDE/>
        <w:autoSpaceDN/>
        <w:bidi w:val="0"/>
        <w:adjustRightInd/>
        <w:spacing w:before="0" w:beforeLines="0" w:after="0" w:afterLines="0" w:line="560" w:lineRule="exact"/>
        <w:ind w:firstLine="643" w:firstLineChars="200"/>
        <w:textAlignment w:val="auto"/>
        <w:rPr>
          <w:rFonts w:hint="default" w:ascii="Times New Roman" w:hAnsi="Times New Roman" w:eastAsia="黑体" w:cs="Times New Roman"/>
          <w:sz w:val="32"/>
          <w:szCs w:val="32"/>
        </w:rPr>
      </w:pPr>
      <w:bookmarkStart w:id="7" w:name="_Toc5790"/>
      <w:r>
        <w:rPr>
          <w:rFonts w:hint="default" w:ascii="Times New Roman" w:hAnsi="Times New Roman" w:eastAsia="黑体" w:cs="Times New Roman"/>
          <w:sz w:val="32"/>
          <w:szCs w:val="32"/>
        </w:rPr>
        <w:t>三、改进意见</w:t>
      </w:r>
      <w:bookmarkEnd w:id="7"/>
    </w:p>
    <w:p>
      <w:pPr>
        <w:keepNext w:val="0"/>
        <w:keepLines w:val="0"/>
        <w:pageBreakBefore w:val="0"/>
        <w:widowControl w:val="0"/>
        <w:kinsoku/>
        <w:wordWrap/>
        <w:overflowPunct/>
        <w:topLinePunct w:val="0"/>
        <w:autoSpaceDE/>
        <w:autoSpaceDN/>
        <w:bidi w:val="0"/>
        <w:adjustRightInd/>
        <w:snapToGrid/>
        <w:spacing w:line="560" w:lineRule="exact"/>
        <w:ind w:left="160" w:leftChars="5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kern w:val="2"/>
          <w:sz w:val="32"/>
          <w:szCs w:val="24"/>
          <w:lang w:val="en-US" w:eastAsia="zh-CN" w:bidi="ar-SA"/>
        </w:rPr>
        <w:t>（一）完善项目实施指标体系，进一步细化绩效目标。</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val="en-US" w:eastAsia="zh-CN"/>
        </w:rPr>
        <w:t>高水平医院和广州呼吸中心</w:t>
      </w:r>
      <w:r>
        <w:rPr>
          <w:rFonts w:hint="default" w:ascii="Times New Roman" w:hAnsi="Times New Roman" w:eastAsia="仿宋_GB2312" w:cs="Times New Roman"/>
          <w:sz w:val="32"/>
          <w:szCs w:val="32"/>
        </w:rPr>
        <w:t>建设方案，</w:t>
      </w:r>
      <w:r>
        <w:rPr>
          <w:rFonts w:hint="default" w:ascii="Times New Roman" w:hAnsi="Times New Roman" w:eastAsia="仿宋_GB2312" w:cs="Times New Roman"/>
          <w:sz w:val="32"/>
          <w:szCs w:val="32"/>
          <w:lang w:val="en-US" w:eastAsia="zh-CN"/>
        </w:rPr>
        <w:t>建议各建设单位对项目</w:t>
      </w:r>
      <w:r>
        <w:rPr>
          <w:rFonts w:hint="default" w:ascii="Times New Roman" w:hAnsi="Times New Roman" w:eastAsia="仿宋_GB2312" w:cs="Times New Roman"/>
          <w:sz w:val="32"/>
          <w:szCs w:val="32"/>
        </w:rPr>
        <w:t>绩效</w:t>
      </w:r>
      <w:r>
        <w:rPr>
          <w:rFonts w:hint="default" w:ascii="Times New Roman" w:hAnsi="Times New Roman" w:eastAsia="仿宋_GB2312" w:cs="Times New Roman"/>
          <w:sz w:val="32"/>
          <w:szCs w:val="32"/>
          <w:lang w:val="en-US" w:eastAsia="zh-CN"/>
        </w:rPr>
        <w:t>目标和绩效</w:t>
      </w:r>
      <w:r>
        <w:rPr>
          <w:rFonts w:hint="default" w:ascii="Times New Roman" w:hAnsi="Times New Roman" w:eastAsia="仿宋_GB2312" w:cs="Times New Roman"/>
          <w:sz w:val="32"/>
          <w:szCs w:val="32"/>
        </w:rPr>
        <w:t>指标</w:t>
      </w:r>
      <w:r>
        <w:rPr>
          <w:rFonts w:hint="default" w:ascii="Times New Roman" w:hAnsi="Times New Roman" w:eastAsia="仿宋_GB2312" w:cs="Times New Roman"/>
          <w:sz w:val="32"/>
          <w:szCs w:val="32"/>
          <w:lang w:val="en-US" w:eastAsia="zh-CN"/>
        </w:rPr>
        <w:t>进行进一步的梳理和细化，明确各子项目标任务以及达到的预期效果，增加</w:t>
      </w:r>
      <w:r>
        <w:rPr>
          <w:rFonts w:hint="default" w:ascii="Times New Roman" w:hAnsi="Times New Roman" w:eastAsia="仿宋_GB2312" w:cs="Times New Roman"/>
          <w:kern w:val="0"/>
          <w:sz w:val="32"/>
          <w:szCs w:val="32"/>
        </w:rPr>
        <w:t>可衡量性的产出指标和效果指标</w:t>
      </w:r>
      <w:r>
        <w:rPr>
          <w:rFonts w:hint="default" w:ascii="Times New Roman" w:hAnsi="Times New Roman" w:eastAsia="仿宋_GB2312" w:cs="Times New Roman"/>
          <w:sz w:val="32"/>
          <w:szCs w:val="32"/>
          <w:lang w:val="en-US" w:eastAsia="zh-CN"/>
        </w:rPr>
        <w:t>，做实做细绩效目标设置工作，确保省级财政资金绩效评价</w:t>
      </w:r>
      <w:r>
        <w:rPr>
          <w:rFonts w:hint="default" w:ascii="Times New Roman" w:hAnsi="Times New Roman" w:eastAsia="仿宋_GB2312" w:cs="Times New Roman"/>
          <w:sz w:val="32"/>
          <w:szCs w:val="32"/>
        </w:rPr>
        <w:t>科学、合理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rPr>
        <w:t>效</w:t>
      </w:r>
      <w:r>
        <w:rPr>
          <w:rFonts w:hint="default" w:ascii="Times New Roman" w:hAnsi="Times New Roman" w:eastAsia="仿宋_GB2312" w:cs="Times New Roman"/>
          <w:sz w:val="32"/>
          <w:szCs w:val="32"/>
          <w:lang w:val="en-US" w:eastAsia="zh-CN"/>
        </w:rPr>
        <w:t>，提高财政资金使用效益。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left="160" w:leftChars="5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楷体_GB2312" w:cs="Times New Roman"/>
          <w:b w:val="0"/>
          <w:bCs/>
          <w:kern w:val="2"/>
          <w:sz w:val="32"/>
          <w:szCs w:val="24"/>
          <w:lang w:val="en-US" w:eastAsia="zh-CN" w:bidi="ar-SA"/>
        </w:rPr>
        <w:t>（二）加强项目资金拨付和执行进度管理，提高资金使用效益。</w:t>
      </w:r>
      <w:r>
        <w:rPr>
          <w:rFonts w:hint="default" w:ascii="Times New Roman" w:hAnsi="Times New Roman" w:eastAsia="仿宋_GB2312" w:cs="Times New Roman"/>
          <w:b w:val="0"/>
          <w:bCs w:val="0"/>
          <w:color w:val="000000"/>
          <w:kern w:val="0"/>
          <w:sz w:val="32"/>
          <w:szCs w:val="32"/>
          <w:lang w:val="en-US" w:eastAsia="zh-CN" w:bidi="ar"/>
        </w:rPr>
        <w:t>建议省级</w:t>
      </w:r>
      <w:r>
        <w:rPr>
          <w:rFonts w:hint="default" w:ascii="Times New Roman" w:hAnsi="Times New Roman" w:eastAsia="仿宋_GB2312" w:cs="Times New Roman"/>
          <w:sz w:val="32"/>
          <w:szCs w:val="32"/>
          <w:lang w:eastAsia="zh-CN"/>
        </w:rPr>
        <w:t>财政部门加快资金下达速度，有效</w:t>
      </w:r>
      <w:r>
        <w:rPr>
          <w:rFonts w:hint="default" w:ascii="Times New Roman" w:hAnsi="Times New Roman" w:eastAsia="仿宋_GB2312" w:cs="Times New Roman"/>
          <w:sz w:val="32"/>
          <w:szCs w:val="32"/>
          <w:lang w:val="en-US" w:eastAsia="zh-CN"/>
        </w:rPr>
        <w:t>提高项目资金使用进度。项目实施单位加强资金</w:t>
      </w:r>
      <w:r>
        <w:rPr>
          <w:rFonts w:hint="default" w:ascii="Times New Roman" w:hAnsi="Times New Roman" w:eastAsia="仿宋_GB2312" w:cs="Times New Roman"/>
          <w:color w:val="000000"/>
          <w:kern w:val="0"/>
          <w:sz w:val="32"/>
          <w:szCs w:val="32"/>
          <w:lang w:val="en-US" w:eastAsia="zh-CN" w:bidi="ar"/>
        </w:rPr>
        <w:t>使用</w:t>
      </w:r>
      <w:r>
        <w:rPr>
          <w:rFonts w:hint="default" w:ascii="Times New Roman" w:hAnsi="Times New Roman" w:eastAsia="仿宋_GB2312" w:cs="Times New Roman"/>
          <w:sz w:val="32"/>
          <w:szCs w:val="32"/>
          <w:lang w:val="en-US" w:eastAsia="zh-CN"/>
        </w:rPr>
        <w:t>管理</w:t>
      </w:r>
      <w:r>
        <w:rPr>
          <w:rFonts w:hint="default" w:ascii="Times New Roman" w:hAnsi="Times New Roman" w:eastAsia="仿宋_GB2312" w:cs="Times New Roman"/>
          <w:color w:val="000000"/>
          <w:kern w:val="0"/>
          <w:sz w:val="32"/>
          <w:szCs w:val="32"/>
          <w:lang w:val="en-US" w:eastAsia="zh-CN" w:bidi="ar"/>
        </w:rPr>
        <w:t>，合理合规使用资金。</w:t>
      </w:r>
    </w:p>
    <w:p>
      <w:pPr>
        <w:pStyle w:val="15"/>
        <w:pageBreakBefore w:val="0"/>
        <w:kinsoku/>
        <w:wordWrap/>
        <w:overflowPunct/>
        <w:topLinePunct w:val="0"/>
        <w:bidi w:val="0"/>
        <w:spacing w:before="0" w:beforeLines="0" w:after="0" w:afterLines="0" w:line="560" w:lineRule="exact"/>
        <w:rPr>
          <w:rFonts w:hint="default" w:ascii="Times New Roman" w:hAnsi="Times New Roman" w:eastAsia="仿宋_GB2312" w:cs="Times New Roman"/>
          <w:color w:val="000000"/>
          <w:kern w:val="0"/>
          <w:sz w:val="32"/>
          <w:szCs w:val="32"/>
          <w:lang w:val="en-US" w:eastAsia="zh-CN" w:bidi="ar"/>
        </w:rPr>
      </w:pPr>
    </w:p>
    <w:p>
      <w:pPr>
        <w:pStyle w:val="15"/>
        <w:pageBreakBefore w:val="0"/>
        <w:kinsoku/>
        <w:wordWrap/>
        <w:overflowPunct/>
        <w:topLinePunct w:val="0"/>
        <w:bidi w:val="0"/>
        <w:spacing w:before="0" w:beforeLines="0" w:after="0" w:afterLines="0" w:line="560" w:lineRule="exact"/>
        <w:ind w:left="0" w:leftChars="0" w:firstLine="0" w:firstLineChars="0"/>
        <w:rPr>
          <w:rFonts w:hint="default" w:ascii="Times New Roman" w:hAnsi="Times New Roman" w:eastAsia="仿宋_GB2312" w:cs="Times New Roman"/>
          <w:color w:val="000000"/>
          <w:kern w:val="0"/>
          <w:sz w:val="32"/>
          <w:szCs w:val="32"/>
          <w:lang w:val="en-US" w:eastAsia="zh-CN" w:bidi="ar"/>
        </w:rPr>
      </w:pPr>
    </w:p>
    <w:p>
      <w:pPr>
        <w:pStyle w:val="15"/>
        <w:ind w:left="0" w:leftChars="0" w:firstLine="0" w:firstLineChars="0"/>
        <w:rPr>
          <w:rFonts w:hint="default" w:ascii="Times New Roman" w:hAnsi="Times New Roman" w:cs="Times New Roman"/>
          <w:lang w:val="en-US" w:eastAsia="zh-CN"/>
        </w:rPr>
      </w:pPr>
      <w:bookmarkStart w:id="8" w:name="_Toc26176"/>
      <w:bookmarkStart w:id="9" w:name="_Toc6521"/>
    </w:p>
    <w:p>
      <w:pPr>
        <w:pStyle w:val="15"/>
        <w:ind w:left="0" w:leftChars="0" w:firstLine="0" w:firstLineChars="0"/>
        <w:rPr>
          <w:rFonts w:hint="default" w:ascii="Times New Roman" w:hAnsi="Times New Roman" w:cs="Times New Roman"/>
          <w:lang w:val="en-US" w:eastAsia="zh-CN"/>
        </w:rPr>
      </w:pPr>
    </w:p>
    <w:p>
      <w:pPr>
        <w:pStyle w:val="15"/>
        <w:ind w:left="0" w:leftChars="0" w:firstLine="0" w:firstLineChars="0"/>
        <w:rPr>
          <w:rFonts w:hint="default" w:ascii="Times New Roman" w:hAnsi="Times New Roman" w:cs="Times New Roman"/>
          <w:lang w:val="en-US" w:eastAsia="zh-CN"/>
        </w:rPr>
      </w:pPr>
    </w:p>
    <w:p>
      <w:pPr>
        <w:pStyle w:val="15"/>
        <w:ind w:left="0" w:leftChars="0" w:firstLine="0" w:firstLineChars="0"/>
        <w:rPr>
          <w:rFonts w:hint="default" w:ascii="Times New Roman" w:hAnsi="Times New Roman" w:cs="Times New Roman"/>
          <w:lang w:val="en-US" w:eastAsia="zh-CN"/>
        </w:rPr>
      </w:pPr>
    </w:p>
    <w:p>
      <w:pPr>
        <w:pStyle w:val="15"/>
        <w:ind w:left="0" w:leftChars="0" w:firstLine="0" w:firstLineChars="0"/>
        <w:rPr>
          <w:rFonts w:hint="default" w:ascii="Times New Roman" w:hAnsi="Times New Roman" w:cs="Times New Roman"/>
          <w:lang w:val="en-US" w:eastAsia="zh-CN"/>
        </w:rPr>
      </w:pPr>
    </w:p>
    <w:bookmarkEnd w:id="8"/>
    <w:bookmarkEnd w:id="9"/>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left"/>
        <w:textAlignment w:val="auto"/>
        <w:outlineLvl w:val="9"/>
      </w:pPr>
      <w:bookmarkStart w:id="10" w:name="_GoBack"/>
      <w:bookmarkEnd w:id="10"/>
    </w:p>
    <w:sectPr>
      <w:footerReference r:id="rId4" w:type="default"/>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P裧.粛嵐.">
    <w:altName w:val="仿宋"/>
    <w:panose1 w:val="00000000000000000000"/>
    <w:charset w:val="86"/>
    <w:family w:val="roma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- 73 -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- 73 -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path/>
              <v:fill on="f" focussize="0,0"/>
              <v:stroke on="f" weight="0.5pt"/>
              <v:imagedata o:title=""/>
              <o:lock v:ext="edit" aspectratio="f"/>
              <v:textbox inset="0mm,0mm,0mm,0mm" style="mso-fit-shape-to-text:t;">
                <w:txbxContent>
                  <w:p>
                    <w:pPr>
                      <w:pStyle w:val="8"/>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32F9B"/>
    <w:rsid w:val="09D32F9B"/>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cs="Times New Roman"/>
      <w:b/>
      <w:kern w:val="44"/>
      <w:sz w:val="44"/>
      <w:szCs w:val="24"/>
      <w:lang w:bidi="ar-SA"/>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32"/>
      <w:szCs w:val="24"/>
      <w:lang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szCs w:val="24"/>
      <w:lang w:bidi="ar-SA"/>
    </w:rPr>
  </w:style>
  <w:style w:type="character" w:default="1" w:styleId="14">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rPr>
      <w:rFonts w:ascii="Calibri" w:hAnsi="Calibri" w:eastAsia="宋体" w:cs="Times New Roman"/>
      <w:szCs w:val="24"/>
      <w:lang w:bidi="ar-SA"/>
    </w:rPr>
  </w:style>
  <w:style w:type="paragraph" w:styleId="6">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styleId="7">
    <w:name w:val="toc 3"/>
    <w:basedOn w:val="1"/>
    <w:next w:val="1"/>
    <w:qFormat/>
    <w:uiPriority w:val="0"/>
    <w:pPr>
      <w:ind w:left="840" w:leftChars="400"/>
    </w:pPr>
    <w:rPr>
      <w:rFonts w:ascii="Times New Roman" w:hAnsi="Times New Roman" w:cs="Times New Roman"/>
      <w:szCs w:val="24"/>
      <w:lang w:bidi="ar-SA"/>
    </w:rPr>
  </w:style>
  <w:style w:type="paragraph" w:styleId="8">
    <w:name w:val="footer"/>
    <w:basedOn w:val="1"/>
    <w:uiPriority w:val="0"/>
    <w:pPr>
      <w:tabs>
        <w:tab w:val="center" w:pos="4153"/>
        <w:tab w:val="right" w:pos="8306"/>
      </w:tabs>
      <w:snapToGrid w:val="0"/>
      <w:jc w:val="left"/>
    </w:pPr>
    <w:rPr>
      <w:sz w:val="18"/>
    </w:rPr>
  </w:style>
  <w:style w:type="paragraph" w:styleId="9">
    <w:name w:val="toc 1"/>
    <w:basedOn w:val="1"/>
    <w:next w:val="1"/>
    <w:qFormat/>
    <w:uiPriority w:val="0"/>
    <w:rPr>
      <w:rFonts w:ascii="Times New Roman" w:hAnsi="Times New Roman" w:cs="Times New Roman"/>
      <w:szCs w:val="24"/>
      <w:lang w:bidi="ar-SA"/>
    </w:rPr>
  </w:style>
  <w:style w:type="paragraph" w:styleId="10">
    <w:name w:val="toc 2"/>
    <w:basedOn w:val="1"/>
    <w:next w:val="1"/>
    <w:qFormat/>
    <w:uiPriority w:val="0"/>
    <w:pPr>
      <w:ind w:left="420" w:leftChars="200"/>
    </w:pPr>
    <w:rPr>
      <w:rFonts w:ascii="Times New Roman" w:hAnsi="Times New Roman" w:cs="Times New Roman"/>
      <w:szCs w:val="24"/>
      <w:lang w:bidi="ar-SA"/>
    </w:rPr>
  </w:style>
  <w:style w:type="paragraph" w:styleId="11">
    <w:name w:val="Body Text First Indent 2"/>
    <w:basedOn w:val="6"/>
    <w:qFormat/>
    <w:uiPriority w:val="0"/>
    <w:pPr>
      <w:spacing w:line="360" w:lineRule="auto"/>
    </w:pPr>
    <w:rPr>
      <w:rFonts w:eastAsia="宋体"/>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正文（缩进）"/>
    <w:basedOn w:val="1"/>
    <w:qFormat/>
    <w:uiPriority w:val="0"/>
    <w:pPr>
      <w:spacing w:before="156" w:beforeLines="50" w:after="156" w:afterLines="50" w:line="360" w:lineRule="auto"/>
      <w:ind w:firstLine="480" w:firstLineChars="200"/>
    </w:pPr>
    <w:rPr>
      <w:rFonts w:ascii="Times New Roman" w:hAnsi="Times New Roman" w:cs="Times New Roman"/>
      <w:kern w:val="0"/>
      <w:sz w:val="24"/>
      <w:szCs w:val="20"/>
      <w:lang w:bidi="ar-SA"/>
    </w:rPr>
  </w:style>
  <w:style w:type="paragraph" w:customStyle="1" w:styleId="16">
    <w:name w:val="Default"/>
    <w:unhideWhenUsed/>
    <w:qFormat/>
    <w:uiPriority w:val="99"/>
    <w:pPr>
      <w:widowControl w:val="0"/>
      <w:autoSpaceDE w:val="0"/>
      <w:autoSpaceDN w:val="0"/>
      <w:adjustRightInd w:val="0"/>
      <w:spacing w:beforeLines="0" w:afterLines="0"/>
    </w:pPr>
    <w:rPr>
      <w:rFonts w:hint="eastAsia" w:ascii="仿宋P裧.粛嵐." w:hAnsi="仿宋P裧.粛嵐." w:eastAsia="仿宋P裧.粛嵐."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2020-07-06T07:11:00Z</dcterms:created>
  <dc:creator>eva</dc:creator>
  <cp:lastModifiedBy>eva</cp:lastModifiedBy>
  <dcterms:modified xsi:type="dcterms:W3CDTF">2020-07-06T07:13:24Z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