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textAlignment w:val="auto"/>
        <w:rPr>
          <w:rFonts w:hint="default" w:ascii="Times New Roman" w:hAnsi="Times New Roman" w:eastAsia="黑体" w:cs="Times New Roman"/>
          <w:i w:val="0"/>
          <w:caps w:val="0"/>
          <w:color w:val="000000"/>
          <w:spacing w:val="0"/>
          <w:sz w:val="32"/>
          <w:szCs w:val="32"/>
          <w:shd w:val="clear" w:color="auto" w:fill="FFFFFF"/>
          <w:lang w:val="en-US" w:eastAsia="zh-CN"/>
        </w:rPr>
      </w:pPr>
      <w:r>
        <w:rPr>
          <w:rFonts w:hint="default" w:ascii="Times New Roman" w:hAnsi="Times New Roman" w:eastAsia="黑体" w:cs="Times New Roman"/>
          <w:i w:val="0"/>
          <w:caps w:val="0"/>
          <w:color w:val="000000"/>
          <w:spacing w:val="0"/>
          <w:sz w:val="32"/>
          <w:szCs w:val="32"/>
          <w:shd w:val="clear" w:color="auto" w:fill="FFFFFF"/>
          <w:lang w:eastAsia="zh-CN"/>
        </w:rPr>
        <w:t>附件</w:t>
      </w:r>
      <w:r>
        <w:rPr>
          <w:rFonts w:hint="default" w:ascii="Times New Roman" w:hAnsi="Times New Roman" w:eastAsia="黑体" w:cs="Times New Roman"/>
          <w:i w:val="0"/>
          <w:caps w:val="0"/>
          <w:color w:val="000000"/>
          <w:spacing w:val="0"/>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cs="Times New Roman"/>
          <w:b/>
          <w:color w:val="000000"/>
          <w:sz w:val="44"/>
          <w:szCs w:val="44"/>
        </w:rPr>
      </w:pPr>
      <w:r>
        <w:rPr>
          <w:rFonts w:hint="default" w:ascii="Times New Roman" w:hAnsi="Times New Roman" w:eastAsia="方正小标宋简体" w:cs="Times New Roman"/>
          <w:b w:val="0"/>
          <w:bCs/>
          <w:color w:val="000000"/>
          <w:sz w:val="44"/>
          <w:szCs w:val="44"/>
        </w:rPr>
        <w:t>2020年公共卫生国家随机监督抽查计划</w:t>
      </w:r>
    </w:p>
    <w:p>
      <w:pPr>
        <w:keepNext w:val="0"/>
        <w:keepLines w:val="0"/>
        <w:pageBreakBefore w:val="0"/>
        <w:kinsoku/>
        <w:wordWrap/>
        <w:overflowPunct/>
        <w:topLinePunct w:val="0"/>
        <w:autoSpaceDE/>
        <w:autoSpaceDN/>
        <w:bidi w:val="0"/>
        <w:adjustRightInd/>
        <w:snapToGrid/>
        <w:spacing w:line="520" w:lineRule="exact"/>
        <w:ind w:left="0" w:leftChars="0"/>
        <w:jc w:val="center"/>
        <w:textAlignment w:val="auto"/>
        <w:rPr>
          <w:rFonts w:hint="default" w:ascii="Times New Roman" w:hAnsi="Times New Roman" w:cs="Times New Roman"/>
          <w:b/>
          <w:color w:val="000000"/>
          <w:sz w:val="44"/>
          <w:szCs w:val="44"/>
        </w:rPr>
      </w:pPr>
    </w:p>
    <w:p>
      <w:pPr>
        <w:keepNext w:val="0"/>
        <w:keepLines w:val="0"/>
        <w:pageBreakBefore w:val="0"/>
        <w:tabs>
          <w:tab w:val="left" w:pos="6705"/>
        </w:tabs>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华文仿宋" w:cs="Times New Roman"/>
          <w:b w:val="0"/>
          <w:bCs w:val="0"/>
          <w:color w:val="000000"/>
          <w:sz w:val="32"/>
          <w:szCs w:val="32"/>
        </w:rPr>
      </w:pPr>
      <w:r>
        <w:rPr>
          <w:rFonts w:hint="default" w:ascii="Times New Roman" w:hAnsi="Times New Roman" w:eastAsia="黑体" w:cs="Times New Roman"/>
          <w:b w:val="0"/>
          <w:bCs w:val="0"/>
          <w:color w:val="000000"/>
          <w:sz w:val="32"/>
          <w:szCs w:val="32"/>
        </w:rPr>
        <w:t>一、监督检查内容</w:t>
      </w:r>
    </w:p>
    <w:p>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（一）学校卫生</w:t>
      </w:r>
      <w:r>
        <w:rPr>
          <w:rFonts w:hint="default" w:ascii="Times New Roman" w:hAnsi="Times New Roman" w:eastAsia="仿宋_GB2312" w:cs="Times New Roman"/>
          <w:color w:val="000000"/>
          <w:sz w:val="32"/>
          <w:szCs w:val="32"/>
        </w:rPr>
        <w:t>。抽查学校教学和生活环境、传染病防控、学校饮用水以及学校内游泳场所的卫生管理情况，抽查教室采光照明、人均面积和水质。开展学校卫生综合评价。</w:t>
      </w:r>
    </w:p>
    <w:p>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（二）公共场所卫生。</w:t>
      </w:r>
      <w:r>
        <w:rPr>
          <w:rFonts w:hint="default" w:ascii="Times New Roman" w:hAnsi="Times New Roman" w:eastAsia="仿宋_GB2312" w:cs="Times New Roman"/>
          <w:color w:val="000000"/>
          <w:sz w:val="32"/>
          <w:szCs w:val="32"/>
        </w:rPr>
        <w:t>抽查游泳、住宿、沐浴、美容美发等场所卫生管理情况，抽查顾客用品用具、水质、空气以及集中空调通风系统卫生质量。推进公共场所卫生监督量化分级管理。</w:t>
      </w:r>
    </w:p>
    <w:p>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（三）生活饮用水卫生。</w:t>
      </w:r>
      <w:r>
        <w:rPr>
          <w:rFonts w:hint="default" w:ascii="Times New Roman" w:hAnsi="Times New Roman" w:eastAsia="仿宋_GB2312" w:cs="Times New Roman"/>
          <w:color w:val="000000"/>
          <w:sz w:val="32"/>
          <w:szCs w:val="32"/>
        </w:rPr>
        <w:t>抽查集中式供水、小型集中式供水、二次供水的卫生管理情况，抽查供水水质。推进农村集中式供水卫生安全巡查服务，建立健全农村集中式供水基本情况和卫生安全巡查档案。</w:t>
      </w:r>
    </w:p>
    <w:p>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（四）涉及饮用水卫生安全产品。</w:t>
      </w:r>
      <w:r>
        <w:rPr>
          <w:rFonts w:hint="default" w:ascii="Times New Roman" w:hAnsi="Times New Roman" w:eastAsia="仿宋_GB2312" w:cs="Times New Roman"/>
          <w:color w:val="000000"/>
          <w:sz w:val="32"/>
          <w:szCs w:val="32"/>
        </w:rPr>
        <w:t>抽查涉水产品生产经营单位、在华责任单位生产经营合规性情况，抽查输配水设备、水处理材料、化学处理剂和水质处理器产品卫生质量。抽查现制现售饮用水自动售水机的应用现场。</w:t>
      </w:r>
    </w:p>
    <w:p>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（五）餐具饮具集中消毒服务单位。</w:t>
      </w:r>
      <w:r>
        <w:rPr>
          <w:rFonts w:hint="default" w:ascii="Times New Roman" w:hAnsi="Times New Roman" w:eastAsia="仿宋_GB2312" w:cs="Times New Roman"/>
          <w:color w:val="000000"/>
          <w:sz w:val="32"/>
          <w:szCs w:val="32"/>
        </w:rPr>
        <w:t>抽查餐具饮具集中消毒服务单位依法生产情况，抽查消毒餐具饮具卫生质量。</w:t>
      </w:r>
    </w:p>
    <w:p>
      <w:pPr>
        <w:keepNext w:val="0"/>
        <w:keepLines w:val="0"/>
        <w:pageBreakBefore w:val="0"/>
        <w:tabs>
          <w:tab w:val="left" w:pos="6705"/>
        </w:tabs>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val="en-US" w:eastAsia="zh-CN"/>
        </w:rPr>
        <w:t>二</w:t>
      </w:r>
      <w:r>
        <w:rPr>
          <w:rFonts w:hint="default" w:ascii="Times New Roman" w:hAnsi="Times New Roman" w:eastAsia="黑体" w:cs="Times New Roman"/>
          <w:b w:val="0"/>
          <w:bCs w:val="0"/>
          <w:color w:val="000000"/>
          <w:sz w:val="32"/>
          <w:szCs w:val="32"/>
        </w:rPr>
        <w:t>、结果报送要求</w:t>
      </w:r>
    </w:p>
    <w:p>
      <w:pPr>
        <w:keepNext w:val="0"/>
        <w:keepLines w:val="0"/>
        <w:pageBreakBefore w:val="0"/>
        <w:kinsoku/>
        <w:wordWrap/>
        <w:overflowPunct/>
        <w:topLinePunct w:val="0"/>
        <w:autoSpaceDE/>
        <w:autoSpaceDN/>
        <w:bidi w:val="0"/>
        <w:adjustRightInd/>
        <w:snapToGrid/>
        <w:spacing w:line="520" w:lineRule="exact"/>
        <w:ind w:left="0" w:leftChars="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各地要切实加强对上报数据信息的审核，按照抽查工作计划表及监督信息报告卡要求填报数据信息，保证数据信息项目齐全、质量可靠。目前尚不能通过监督信息报告卡上报的数据信息，需以网络填报汇总表方式上报。所有数据以信息报告系统填报数据为准，不需另外报送纸质报表。公共场所卫生监督量化分级管理、农村集中式供水卫生安全巡查、学校卫生综合评价上报数据信息，将作为评估各地落实“十三五”规划目标任务的重要依据。</w:t>
      </w:r>
    </w:p>
    <w:p>
      <w:pPr>
        <w:keepNext w:val="0"/>
        <w:keepLines w:val="0"/>
        <w:pageBreakBefore w:val="0"/>
        <w:kinsoku/>
        <w:wordWrap/>
        <w:overflowPunct/>
        <w:topLinePunct w:val="0"/>
        <w:autoSpaceDE/>
        <w:autoSpaceDN/>
        <w:bidi w:val="0"/>
        <w:adjustRightInd/>
        <w:snapToGrid/>
        <w:spacing w:line="520" w:lineRule="exact"/>
        <w:ind w:left="0" w:leftChars="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（二）各地要将完成本抽查计划中的学校采光和照明抽检任务，作为贯彻落实《综合防控儿童青少年近视实施方案》的一项重要内容，会同辖区教育行政部门做好抽检、记录和公布工作。</w:t>
      </w:r>
    </w:p>
    <w:p>
      <w:pPr>
        <w:keepNext w:val="0"/>
        <w:keepLines w:val="0"/>
        <w:pageBreakBefore w:val="0"/>
        <w:kinsoku/>
        <w:wordWrap/>
        <w:overflowPunct/>
        <w:topLinePunct w:val="0"/>
        <w:autoSpaceDE/>
        <w:autoSpaceDN/>
        <w:bidi w:val="0"/>
        <w:adjustRightInd/>
        <w:snapToGrid/>
        <w:spacing w:line="520" w:lineRule="exact"/>
        <w:ind w:left="0" w:leftChars="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各地要在2020年7月10日前和8月10日前，分别完成50%以上和80%以上游泳场所抽查任务的结果报送；在2020年6月1日前完成30%以上学校、50%以上餐具饮具集中消毒服务单位抽查任务的结果报送；在2020年11月30日前完成全部公共卫生抽查任务的结果报送。</w:t>
      </w:r>
    </w:p>
    <w:p>
      <w:pPr>
        <w:keepNext w:val="0"/>
        <w:keepLines w:val="0"/>
        <w:pageBreakBefore w:val="0"/>
        <w:kinsoku/>
        <w:wordWrap/>
        <w:overflowPunct/>
        <w:topLinePunct w:val="0"/>
        <w:autoSpaceDE/>
        <w:autoSpaceDN/>
        <w:bidi w:val="0"/>
        <w:adjustRightInd/>
        <w:snapToGrid/>
        <w:spacing w:line="520" w:lineRule="exact"/>
        <w:ind w:left="0" w:leftChars="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在2020年8月31日前，各地全面完成体育场馆等实行非卫生许可管理公共场所、农村设计日供水100吨及以上集中式供水、二次供水的建档立卡工作。</w:t>
      </w:r>
    </w:p>
    <w:p>
      <w:pPr>
        <w:keepNext w:val="0"/>
        <w:keepLines w:val="0"/>
        <w:pageBreakBefore w:val="0"/>
        <w:kinsoku/>
        <w:wordWrap/>
        <w:overflowPunct/>
        <w:topLinePunct w:val="0"/>
        <w:autoSpaceDE/>
        <w:autoSpaceDN/>
        <w:bidi w:val="0"/>
        <w:adjustRightInd/>
        <w:snapToGrid/>
        <w:spacing w:line="520" w:lineRule="exact"/>
        <w:ind w:left="0" w:leftChars="0"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各地要强化处理措施，对监督检查中发现的突出问题，及时向当地政府主管部门通报情况，促进协同监管；对生活美容场所涉嫌违法开展医疗美容等案件线索，要及时通报、组织协查。重大案件信息要及时向我委报告。</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rightChars="0" w:firstLine="641" w:firstLineChars="0"/>
        <w:jc w:val="both"/>
        <w:textAlignment w:val="auto"/>
        <w:outlineLvl w:val="9"/>
        <w:rPr>
          <w:rFonts w:hint="default" w:ascii="Times New Roman" w:hAnsi="Times New Roman" w:eastAsia="仿宋_GB2312" w:cs="Times New Roman"/>
          <w:color w:val="000000"/>
          <w:kern w:val="0"/>
          <w:sz w:val="32"/>
        </w:rPr>
      </w:pPr>
      <w:r>
        <w:rPr>
          <w:rFonts w:hint="default" w:ascii="Times New Roman" w:hAnsi="Times New Roman" w:eastAsia="仿宋_GB2312" w:cs="Times New Roman"/>
          <w:color w:val="000000"/>
          <w:kern w:val="0"/>
          <w:sz w:val="32"/>
        </w:rPr>
        <w:t>联系人及电话：</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rPr>
        <w:t>公共场所卫生：蔡雪毅</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020-84469692</w:t>
      </w:r>
      <w:r>
        <w:rPr>
          <w:rFonts w:hint="default" w:ascii="Times New Roman" w:hAnsi="Times New Roman" w:eastAsia="仿宋_GB2312" w:cs="Times New Roman"/>
          <w:color w:val="000000"/>
          <w:sz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rPr>
        <w:t>生活饮用水卫生：</w:t>
      </w:r>
      <w:r>
        <w:rPr>
          <w:rFonts w:hint="default" w:ascii="Times New Roman" w:hAnsi="Times New Roman" w:eastAsia="仿宋_GB2312" w:cs="Times New Roman"/>
          <w:color w:val="000000"/>
          <w:sz w:val="32"/>
          <w:lang w:eastAsia="zh-CN"/>
        </w:rPr>
        <w:t>黄浩，</w:t>
      </w:r>
      <w:r>
        <w:rPr>
          <w:rFonts w:hint="default" w:ascii="Times New Roman" w:hAnsi="Times New Roman" w:eastAsia="仿宋_GB2312" w:cs="Times New Roman"/>
          <w:color w:val="000000"/>
          <w:sz w:val="32"/>
        </w:rPr>
        <w:t>020-84469697</w:t>
      </w:r>
      <w:r>
        <w:rPr>
          <w:rFonts w:hint="default" w:ascii="Times New Roman" w:hAnsi="Times New Roman" w:eastAsia="仿宋_GB2312" w:cs="Times New Roman"/>
          <w:color w:val="000000"/>
          <w:sz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rPr>
        <w:t>学校卫生：刘小丽</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020-89104412</w:t>
      </w:r>
      <w:r>
        <w:rPr>
          <w:rFonts w:hint="default" w:ascii="Times New Roman" w:hAnsi="Times New Roman" w:eastAsia="仿宋_GB2312" w:cs="Times New Roman"/>
          <w:color w:val="000000"/>
          <w:sz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rPr>
        <w:t>涉水产品：蔡锐</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020-84469697</w:t>
      </w:r>
      <w:r>
        <w:rPr>
          <w:rFonts w:hint="default" w:ascii="Times New Roman" w:hAnsi="Times New Roman" w:eastAsia="仿宋_GB2312" w:cs="Times New Roman"/>
          <w:color w:val="000000"/>
          <w:sz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val="en-US" w:eastAsia="zh-CN"/>
        </w:rPr>
        <w:t xml:space="preserve">    </w:t>
      </w:r>
      <w:r>
        <w:rPr>
          <w:rFonts w:hint="default" w:ascii="Times New Roman" w:hAnsi="Times New Roman" w:eastAsia="仿宋_GB2312" w:cs="Times New Roman"/>
          <w:color w:val="000000"/>
          <w:sz w:val="32"/>
        </w:rPr>
        <w:t>餐</w:t>
      </w:r>
      <w:r>
        <w:rPr>
          <w:rFonts w:hint="default" w:ascii="Times New Roman" w:hAnsi="Times New Roman" w:eastAsia="仿宋_GB2312" w:cs="Times New Roman"/>
          <w:color w:val="000000"/>
          <w:sz w:val="32"/>
          <w:lang w:eastAsia="zh-CN"/>
        </w:rPr>
        <w:t>具</w:t>
      </w:r>
      <w:r>
        <w:rPr>
          <w:rFonts w:hint="default" w:ascii="Times New Roman" w:hAnsi="Times New Roman" w:eastAsia="仿宋_GB2312" w:cs="Times New Roman"/>
          <w:color w:val="000000"/>
          <w:sz w:val="32"/>
        </w:rPr>
        <w:t>饮具集中消毒服务单位：黎坤锐</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020-84469696</w:t>
      </w:r>
      <w:r>
        <w:rPr>
          <w:rFonts w:hint="default" w:ascii="Times New Roman" w:hAnsi="Times New Roman" w:eastAsia="仿宋_GB2312" w:cs="Times New Roman"/>
          <w:color w:val="000000"/>
          <w:sz w:val="32"/>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val="en-US" w:eastAsia="zh-CN"/>
        </w:rPr>
        <w:t xml:space="preserve">    </w:t>
      </w:r>
      <w:r>
        <w:rPr>
          <w:rFonts w:hint="default" w:ascii="Times New Roman" w:hAnsi="Times New Roman" w:eastAsia="仿宋_GB2312" w:cs="Times New Roman"/>
          <w:color w:val="000000"/>
          <w:sz w:val="32"/>
        </w:rPr>
        <w:t>传  真：020-84461299</w:t>
      </w:r>
      <w:r>
        <w:rPr>
          <w:rFonts w:hint="default" w:ascii="Times New Roman" w:hAnsi="Times New Roman" w:eastAsia="仿宋_GB2312" w:cs="Times New Roman"/>
          <w:color w:val="000000"/>
          <w:sz w:val="32"/>
          <w:lang w:eastAsia="zh-CN"/>
        </w:rPr>
        <w:t>；</w:t>
      </w:r>
    </w:p>
    <w:p>
      <w:pPr>
        <w:keepNext w:val="0"/>
        <w:keepLines w:val="0"/>
        <w:pageBreakBefore w:val="0"/>
        <w:kinsoku/>
        <w:wordWrap/>
        <w:overflowPunct/>
        <w:topLinePunct w:val="0"/>
        <w:autoSpaceDE/>
        <w:autoSpaceDN/>
        <w:bidi w:val="0"/>
        <w:adjustRightInd/>
        <w:snapToGrid/>
        <w:spacing w:before="0" w:after="0" w:line="520" w:lineRule="exact"/>
        <w:ind w:left="0" w:leftChars="0" w:right="0" w:rightChars="0" w:firstLine="68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rPr>
        <w:t>邮  箱：</w:t>
      </w:r>
      <w:r>
        <w:rPr>
          <w:rFonts w:hint="default" w:ascii="Times New Roman" w:hAnsi="Times New Roman" w:eastAsia="仿宋_GB2312" w:cs="Times New Roman"/>
          <w:color w:val="000000"/>
        </w:rPr>
        <w:fldChar w:fldCharType="begin"/>
      </w:r>
      <w:r>
        <w:rPr>
          <w:rFonts w:hint="default" w:ascii="Times New Roman" w:hAnsi="Times New Roman" w:eastAsia="仿宋_GB2312" w:cs="Times New Roman"/>
          <w:color w:val="000000"/>
        </w:rPr>
        <w:instrText xml:space="preserve"> HYPERLINK "mailto:gdwsjd@vip.163.com" </w:instrText>
      </w:r>
      <w:r>
        <w:rPr>
          <w:rFonts w:hint="default" w:ascii="Times New Roman" w:hAnsi="Times New Roman" w:eastAsia="仿宋_GB2312" w:cs="Times New Roman"/>
          <w:color w:val="000000"/>
        </w:rPr>
        <w:fldChar w:fldCharType="separate"/>
      </w:r>
      <w:r>
        <w:rPr>
          <w:rFonts w:hint="default" w:ascii="Times New Roman" w:hAnsi="Times New Roman" w:eastAsia="仿宋_GB2312" w:cs="Times New Roman"/>
          <w:color w:val="000000"/>
          <w:sz w:val="32"/>
        </w:rPr>
        <w:t>gdwsjd@vip.163.com</w:t>
      </w:r>
      <w:r>
        <w:rPr>
          <w:rFonts w:hint="default" w:ascii="Times New Roman" w:hAnsi="Times New Roman" w:eastAsia="仿宋_GB2312" w:cs="Times New Roman"/>
          <w:color w:val="000000"/>
          <w:sz w:val="32"/>
        </w:rPr>
        <w:fldChar w:fldCharType="end"/>
      </w:r>
      <w:r>
        <w:rPr>
          <w:rFonts w:hint="default" w:ascii="Times New Roman" w:hAnsi="Times New Roman" w:eastAsia="仿宋_GB2312" w:cs="Times New Roman"/>
          <w:color w:val="000000"/>
          <w:sz w:val="32"/>
          <w:lang w:eastAsia="zh-CN"/>
        </w:rPr>
        <w:t>。</w:t>
      </w:r>
    </w:p>
    <w:p>
      <w:pPr>
        <w:keepNext w:val="0"/>
        <w:keepLines w:val="0"/>
        <w:pageBreakBefore w:val="0"/>
        <w:tabs>
          <w:tab w:val="left" w:pos="1418"/>
          <w:tab w:val="left" w:pos="1701"/>
        </w:tabs>
        <w:kinsoku/>
        <w:wordWrap/>
        <w:overflowPunct/>
        <w:topLinePunct w:val="0"/>
        <w:autoSpaceDE/>
        <w:autoSpaceDN/>
        <w:bidi w:val="0"/>
        <w:adjustRightInd/>
        <w:snapToGrid/>
        <w:spacing w:line="520" w:lineRule="exact"/>
        <w:ind w:left="0" w:leftChars="0" w:firstLine="640"/>
        <w:textAlignment w:val="auto"/>
        <w:rPr>
          <w:rFonts w:hint="default" w:ascii="Times New Roman" w:hAnsi="Times New Roman" w:eastAsia="仿宋_GB2312" w:cs="Times New Roman"/>
          <w:color w:val="000000"/>
          <w:sz w:val="32"/>
          <w:szCs w:val="32"/>
        </w:rPr>
      </w:pPr>
    </w:p>
    <w:p>
      <w:pPr>
        <w:keepNext w:val="0"/>
        <w:keepLines w:val="0"/>
        <w:pageBreakBefore w:val="0"/>
        <w:widowControl w:val="0"/>
        <w:tabs>
          <w:tab w:val="left" w:pos="1480"/>
          <w:tab w:val="left" w:pos="1701"/>
        </w:tabs>
        <w:kinsoku/>
        <w:wordWrap/>
        <w:overflowPunct/>
        <w:topLinePunct w:val="0"/>
        <w:autoSpaceDE/>
        <w:autoSpaceDN/>
        <w:bidi w:val="0"/>
        <w:adjustRightInd/>
        <w:snapToGrid/>
        <w:spacing w:line="520" w:lineRule="exact"/>
        <w:ind w:firstLine="632"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附表：1</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2020年学校卫生国家随机监督抽查工作计划表</w:t>
      </w:r>
    </w:p>
    <w:p>
      <w:pPr>
        <w:keepNext w:val="0"/>
        <w:keepLines w:val="0"/>
        <w:pageBreakBefore w:val="0"/>
        <w:widowControl w:val="0"/>
        <w:kinsoku/>
        <w:wordWrap/>
        <w:overflowPunct/>
        <w:topLinePunct w:val="0"/>
        <w:autoSpaceDE/>
        <w:autoSpaceDN/>
        <w:bidi w:val="0"/>
        <w:adjustRightInd/>
        <w:snapToGrid/>
        <w:spacing w:line="520" w:lineRule="exact"/>
        <w:ind w:firstLine="1580" w:firstLineChars="500"/>
        <w:jc w:val="both"/>
        <w:textAlignment w:val="auto"/>
        <w:outlineLvl w:val="9"/>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z w:val="32"/>
          <w:szCs w:val="32"/>
        </w:rPr>
        <w:t>2</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pacing w:val="-6"/>
          <w:sz w:val="32"/>
          <w:szCs w:val="32"/>
        </w:rPr>
        <w:t>2020年公共场所卫生国家随机监督抽查工作计划表</w:t>
      </w:r>
    </w:p>
    <w:p>
      <w:pPr>
        <w:keepNext w:val="0"/>
        <w:keepLines w:val="0"/>
        <w:pageBreakBefore w:val="0"/>
        <w:widowControl w:val="0"/>
        <w:kinsoku/>
        <w:wordWrap/>
        <w:overflowPunct/>
        <w:topLinePunct w:val="0"/>
        <w:autoSpaceDE/>
        <w:autoSpaceDN/>
        <w:bidi w:val="0"/>
        <w:adjustRightInd/>
        <w:snapToGrid/>
        <w:spacing w:line="520" w:lineRule="exact"/>
        <w:ind w:firstLine="1580" w:firstLineChars="500"/>
        <w:jc w:val="both"/>
        <w:textAlignment w:val="auto"/>
        <w:outlineLvl w:val="9"/>
        <w:rPr>
          <w:rFonts w:hint="default" w:ascii="Times New Roman" w:hAnsi="Times New Roman" w:eastAsia="仿宋_GB2312" w:cs="Times New Roman"/>
          <w:color w:val="000000"/>
          <w:spacing w:val="-11"/>
          <w:sz w:val="32"/>
          <w:szCs w:val="32"/>
        </w:rPr>
      </w:pPr>
      <w:r>
        <w:rPr>
          <w:rFonts w:hint="default" w:ascii="Times New Roman" w:hAnsi="Times New Roman" w:eastAsia="仿宋_GB2312" w:cs="Times New Roman"/>
          <w:color w:val="000000"/>
          <w:sz w:val="32"/>
          <w:szCs w:val="32"/>
        </w:rPr>
        <w:t>3</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pacing w:val="-11"/>
          <w:sz w:val="32"/>
          <w:szCs w:val="32"/>
        </w:rPr>
        <w:t>2020年生活饮用水卫生国家随机监督抽查工作计划表</w:t>
      </w:r>
    </w:p>
    <w:p>
      <w:pPr>
        <w:keepNext w:val="0"/>
        <w:keepLines w:val="0"/>
        <w:pageBreakBefore w:val="0"/>
        <w:widowControl w:val="0"/>
        <w:kinsoku/>
        <w:wordWrap/>
        <w:overflowPunct/>
        <w:topLinePunct w:val="0"/>
        <w:autoSpaceDE/>
        <w:autoSpaceDN/>
        <w:bidi w:val="0"/>
        <w:adjustRightInd/>
        <w:snapToGrid/>
        <w:spacing w:line="520" w:lineRule="exact"/>
        <w:ind w:firstLine="1580" w:firstLineChars="5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2020年涉水产品国家随机监督抽查工作计划表</w:t>
      </w:r>
    </w:p>
    <w:p>
      <w:pPr>
        <w:keepNext w:val="0"/>
        <w:keepLines w:val="0"/>
        <w:pageBreakBefore w:val="0"/>
        <w:widowControl w:val="0"/>
        <w:tabs>
          <w:tab w:val="left" w:pos="1680"/>
        </w:tabs>
        <w:kinsoku/>
        <w:wordWrap/>
        <w:overflowPunct/>
        <w:topLinePunct w:val="0"/>
        <w:autoSpaceDE/>
        <w:autoSpaceDN/>
        <w:bidi w:val="0"/>
        <w:adjustRightInd/>
        <w:snapToGrid/>
        <w:spacing w:line="520" w:lineRule="exact"/>
        <w:ind w:left="1896" w:leftChars="500" w:hanging="316" w:hangingChars="1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2020年餐具饮具集中消毒服务单位国家随机监督抽查工作计划表</w:t>
      </w:r>
    </w:p>
    <w:p>
      <w:pPr>
        <w:keepNext w:val="0"/>
        <w:keepLines w:val="0"/>
        <w:pageBreakBefore w:val="0"/>
        <w:widowControl w:val="0"/>
        <w:kinsoku/>
        <w:wordWrap/>
        <w:overflowPunct/>
        <w:topLinePunct w:val="0"/>
        <w:autoSpaceDE/>
        <w:autoSpaceDN/>
        <w:bidi w:val="0"/>
        <w:adjustRightInd/>
        <w:snapToGrid/>
        <w:spacing w:line="520" w:lineRule="exact"/>
        <w:ind w:left="1896" w:leftChars="500" w:hanging="316" w:hangingChars="1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2020年学校卫生综合监督评价及监督协管服务信息汇总表</w:t>
      </w:r>
    </w:p>
    <w:p>
      <w:pPr>
        <w:keepNext w:val="0"/>
        <w:keepLines w:val="0"/>
        <w:pageBreakBefore w:val="0"/>
        <w:widowControl w:val="0"/>
        <w:kinsoku/>
        <w:wordWrap/>
        <w:overflowPunct/>
        <w:topLinePunct w:val="0"/>
        <w:autoSpaceDE/>
        <w:autoSpaceDN/>
        <w:bidi w:val="0"/>
        <w:adjustRightInd/>
        <w:snapToGrid/>
        <w:spacing w:line="520" w:lineRule="exact"/>
        <w:ind w:left="1896" w:leftChars="500" w:hanging="316" w:hangingChars="1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2020年小型集中式供水卫生安全巡查覆盖乡镇情况汇总表</w:t>
      </w:r>
    </w:p>
    <w:p>
      <w:pPr>
        <w:keepNext w:val="0"/>
        <w:keepLines w:val="0"/>
        <w:pageBreakBefore w:val="0"/>
        <w:widowControl w:val="0"/>
        <w:kinsoku/>
        <w:wordWrap/>
        <w:overflowPunct/>
        <w:topLinePunct w:val="0"/>
        <w:autoSpaceDE/>
        <w:autoSpaceDN/>
        <w:bidi w:val="0"/>
        <w:adjustRightInd/>
        <w:snapToGrid/>
        <w:spacing w:line="520" w:lineRule="exact"/>
        <w:ind w:left="1896" w:leftChars="500" w:hanging="316" w:hangingChars="1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2020年小型集中式供水和二次供水水质国家随机监督抽查信息汇总表</w:t>
      </w:r>
    </w:p>
    <w:p>
      <w:pPr>
        <w:keepNext w:val="0"/>
        <w:keepLines w:val="0"/>
        <w:pageBreakBefore w:val="0"/>
        <w:widowControl w:val="0"/>
        <w:kinsoku/>
        <w:wordWrap/>
        <w:overflowPunct/>
        <w:topLinePunct w:val="0"/>
        <w:autoSpaceDE/>
        <w:autoSpaceDN/>
        <w:bidi w:val="0"/>
        <w:adjustRightInd/>
        <w:snapToGrid/>
        <w:spacing w:line="520" w:lineRule="exact"/>
        <w:ind w:left="1896" w:leftChars="500" w:hanging="316" w:hangingChars="1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2020年二次供水卫生管理国家随机监督抽查信息汇总表</w:t>
      </w:r>
    </w:p>
    <w:p>
      <w:pPr>
        <w:keepNext w:val="0"/>
        <w:keepLines w:val="0"/>
        <w:pageBreakBefore w:val="0"/>
        <w:widowControl w:val="0"/>
        <w:kinsoku/>
        <w:wordWrap/>
        <w:overflowPunct/>
        <w:topLinePunct w:val="0"/>
        <w:autoSpaceDE/>
        <w:autoSpaceDN/>
        <w:bidi w:val="0"/>
        <w:adjustRightInd/>
        <w:snapToGrid/>
        <w:spacing w:line="520" w:lineRule="exact"/>
        <w:ind w:left="1896" w:leftChars="500" w:hanging="316" w:hangingChars="1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2020年涉水产品经营单位国家随机监督抽查信息汇总表</w:t>
      </w:r>
    </w:p>
    <w:p>
      <w:pPr>
        <w:keepNext w:val="0"/>
        <w:keepLines w:val="0"/>
        <w:pageBreakBefore w:val="0"/>
        <w:widowControl w:val="0"/>
        <w:kinsoku/>
        <w:wordWrap/>
        <w:overflowPunct/>
        <w:topLinePunct w:val="0"/>
        <w:autoSpaceDE/>
        <w:autoSpaceDN/>
        <w:bidi w:val="0"/>
        <w:adjustRightInd/>
        <w:snapToGrid/>
        <w:spacing w:line="520" w:lineRule="exact"/>
        <w:ind w:left="1896" w:leftChars="500" w:hanging="316" w:hangingChars="100"/>
        <w:jc w:val="both"/>
        <w:textAlignment w:val="auto"/>
        <w:outlineLvl w:val="9"/>
        <w:rPr>
          <w:rFonts w:hint="default" w:ascii="Times New Roman" w:hAnsi="Times New Roman" w:eastAsia="仿宋" w:cs="Times New Roman"/>
          <w:color w:val="000000"/>
          <w:sz w:val="32"/>
          <w:szCs w:val="32"/>
          <w:lang w:val="en-US" w:eastAsia="zh-CN"/>
        </w:rPr>
      </w:pPr>
      <w:r>
        <w:rPr>
          <w:rFonts w:hint="default" w:ascii="Times New Roman" w:hAnsi="Times New Roman" w:eastAsia="仿宋_GB2312" w:cs="Times New Roman"/>
          <w:color w:val="000000"/>
          <w:sz w:val="32"/>
          <w:szCs w:val="32"/>
        </w:rPr>
        <w:t>11</w:t>
      </w:r>
      <w:r>
        <w:rPr>
          <w:rFonts w:hint="default" w:ascii="仿宋_GB2312" w:hAnsi="仿宋_GB2312" w:eastAsia="仿宋_GB2312" w:cs="仿宋_GB2312"/>
          <w:color w:val="000000"/>
          <w:sz w:val="32"/>
          <w:szCs w:val="32"/>
        </w:rPr>
        <w:t>.</w:t>
      </w:r>
      <w:r>
        <w:rPr>
          <w:rFonts w:hint="default" w:ascii="Times New Roman" w:hAnsi="Times New Roman" w:eastAsia="仿宋_GB2312" w:cs="Times New Roman"/>
          <w:color w:val="000000"/>
          <w:sz w:val="32"/>
          <w:szCs w:val="32"/>
        </w:rPr>
        <w:t>2020年餐具饮具集中消毒服务单位国家随机监督抽查信息汇总表</w:t>
      </w:r>
    </w:p>
    <w:p>
      <w:pPr>
        <w:keepNext w:val="0"/>
        <w:keepLines w:val="0"/>
        <w:pageBreakBefore w:val="0"/>
        <w:kinsoku/>
        <w:wordWrap/>
        <w:overflowPunct/>
        <w:topLinePunct w:val="0"/>
        <w:autoSpaceDE/>
        <w:autoSpaceDN/>
        <w:bidi w:val="0"/>
        <w:adjustRightInd/>
        <w:snapToGrid/>
        <w:spacing w:line="540" w:lineRule="exact"/>
        <w:ind w:left="0" w:leftChars="0" w:firstLine="1480" w:firstLineChars="0"/>
        <w:jc w:val="distribute"/>
        <w:textAlignment w:val="auto"/>
        <w:rPr>
          <w:rFonts w:hint="default" w:ascii="Times New Roman" w:hAnsi="Times New Roman" w:eastAsia="仿宋" w:cs="Times New Roman"/>
          <w:color w:val="000000"/>
          <w:sz w:val="32"/>
          <w:szCs w:val="32"/>
        </w:rPr>
        <w:sectPr>
          <w:footerReference r:id="rId3" w:type="default"/>
          <w:footerReference r:id="rId4" w:type="even"/>
          <w:pgSz w:w="11906" w:h="16838"/>
          <w:pgMar w:top="2041" w:right="1531" w:bottom="2041" w:left="1531" w:header="851" w:footer="1332" w:gutter="0"/>
          <w:pgNumType w:fmt="numberInDash"/>
          <w:cols w:space="720" w:num="1"/>
          <w:titlePg/>
          <w:rtlGutter w:val="0"/>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附表1</w:t>
      </w:r>
    </w:p>
    <w:p>
      <w:pPr>
        <w:keepNext w:val="0"/>
        <w:keepLines w:val="0"/>
        <w:pageBreakBefore w:val="0"/>
        <w:widowControl w:val="0"/>
        <w:kinsoku/>
        <w:wordWrap/>
        <w:overflowPunct/>
        <w:topLinePunct w:val="0"/>
        <w:autoSpaceDE/>
        <w:autoSpaceDN/>
        <w:bidi w:val="0"/>
        <w:adjustRightInd/>
        <w:snapToGrid/>
        <w:spacing w:before="63" w:beforeLines="20" w:after="157" w:afterLines="50" w:line="700" w:lineRule="exact"/>
        <w:jc w:val="center"/>
        <w:textAlignment w:val="auto"/>
        <w:rPr>
          <w:rFonts w:hint="default" w:ascii="Times New Roman" w:hAnsi="Times New Roman" w:eastAsia="黑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2020年学校卫生国家随机监督抽查工作计划表</w:t>
      </w:r>
    </w:p>
    <w:tbl>
      <w:tblPr>
        <w:tblStyle w:val="3"/>
        <w:tblW w:w="13973"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127"/>
        <w:gridCol w:w="5705"/>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708" w:type="dxa"/>
            <w:noWrap w:val="0"/>
            <w:vAlign w:val="center"/>
          </w:tcPr>
          <w:p>
            <w:pPr>
              <w:jc w:val="center"/>
              <w:rPr>
                <w:rFonts w:hint="eastAsia" w:ascii="黑体" w:hAnsi="黑体" w:eastAsia="黑体" w:cs="黑体"/>
                <w:color w:val="000000"/>
                <w:sz w:val="21"/>
                <w:szCs w:val="21"/>
              </w:rPr>
            </w:pPr>
            <w:r>
              <w:rPr>
                <w:rFonts w:hint="eastAsia" w:ascii="黑体" w:hAnsi="黑体" w:eastAsia="黑体" w:cs="黑体"/>
                <w:color w:val="000000"/>
                <w:sz w:val="21"/>
                <w:szCs w:val="21"/>
              </w:rPr>
              <w:t>监督检查对象</w:t>
            </w:r>
          </w:p>
        </w:tc>
        <w:tc>
          <w:tcPr>
            <w:tcW w:w="2127" w:type="dxa"/>
            <w:noWrap w:val="0"/>
            <w:vAlign w:val="center"/>
          </w:tcPr>
          <w:p>
            <w:pPr>
              <w:keepNext/>
              <w:keepLines/>
              <w:widowControl/>
              <w:spacing w:before="93" w:beforeLines="30" w:after="93" w:afterLines="30" w:line="26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范围和数量</w:t>
            </w:r>
          </w:p>
        </w:tc>
        <w:tc>
          <w:tcPr>
            <w:tcW w:w="5705" w:type="dxa"/>
            <w:noWrap w:val="0"/>
            <w:vAlign w:val="center"/>
          </w:tcPr>
          <w:p>
            <w:pPr>
              <w:keepNext/>
              <w:keepLines/>
              <w:widowControl/>
              <w:spacing w:before="93" w:beforeLines="30" w:after="93" w:afterLines="30" w:line="26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检查内容</w:t>
            </w:r>
          </w:p>
        </w:tc>
        <w:tc>
          <w:tcPr>
            <w:tcW w:w="4433" w:type="dxa"/>
            <w:noWrap w:val="0"/>
            <w:vAlign w:val="center"/>
          </w:tcPr>
          <w:p>
            <w:pPr>
              <w:keepNext/>
              <w:keepLines/>
              <w:widowControl/>
              <w:spacing w:before="93" w:beforeLines="30" w:after="93" w:afterLines="30" w:line="26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1708" w:type="dxa"/>
            <w:noWrap w:val="0"/>
            <w:vAlign w:val="center"/>
          </w:tcPr>
          <w:p>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中小学校及高校</w:t>
            </w:r>
          </w:p>
        </w:tc>
        <w:tc>
          <w:tcPr>
            <w:tcW w:w="2127" w:type="dxa"/>
            <w:noWrap w:val="0"/>
            <w:vAlign w:val="center"/>
          </w:tcPr>
          <w:p>
            <w:pPr>
              <w:keepNext/>
              <w:keepLines/>
              <w:widowControl/>
              <w:spacing w:before="93" w:beforeLines="30" w:after="93" w:afterLines="30" w:line="26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辖区学校总数的20%</w:t>
            </w:r>
          </w:p>
        </w:tc>
        <w:tc>
          <w:tcPr>
            <w:tcW w:w="5705" w:type="dxa"/>
            <w:noWrap w:val="0"/>
            <w:vAlign w:val="center"/>
          </w:tcPr>
          <w:p>
            <w:pPr>
              <w:keepNext/>
              <w:keepLines/>
              <w:widowControl/>
              <w:spacing w:before="156" w:beforeLines="50"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1.学校落实教学和生活环境卫生要求情况，包括教室课桌椅配备</w:t>
            </w:r>
            <w:r>
              <w:rPr>
                <w:rFonts w:hint="default" w:ascii="Times New Roman" w:hAnsi="Times New Roman" w:eastAsia="仿宋_GB2312" w:cs="Times New Roman"/>
                <w:color w:val="000000"/>
                <w:sz w:val="21"/>
                <w:szCs w:val="21"/>
                <w:vertAlign w:val="superscript"/>
                <w:lang w:eastAsia="zh-CN"/>
              </w:rPr>
              <w:t>（</w:t>
            </w:r>
            <w:r>
              <w:rPr>
                <w:rFonts w:hint="default" w:ascii="Times New Roman" w:hAnsi="Times New Roman" w:eastAsia="仿宋_GB2312" w:cs="Times New Roman"/>
                <w:color w:val="000000"/>
                <w:sz w:val="21"/>
                <w:szCs w:val="21"/>
                <w:vertAlign w:val="superscript"/>
              </w:rPr>
              <w:t>a</w:t>
            </w:r>
            <w:r>
              <w:rPr>
                <w:rFonts w:hint="default" w:ascii="Times New Roman" w:hAnsi="Times New Roman" w:eastAsia="仿宋_GB2312" w:cs="Times New Roman"/>
                <w:color w:val="000000"/>
                <w:sz w:val="21"/>
                <w:szCs w:val="21"/>
                <w:vertAlign w:val="superscript"/>
                <w:lang w:eastAsia="zh-CN"/>
              </w:rPr>
              <w:t>）</w:t>
            </w:r>
            <w:r>
              <w:rPr>
                <w:rFonts w:hint="default" w:ascii="Times New Roman" w:hAnsi="Times New Roman" w:eastAsia="仿宋_GB2312" w:cs="Times New Roman"/>
                <w:color w:val="000000"/>
                <w:sz w:val="21"/>
                <w:szCs w:val="21"/>
              </w:rPr>
              <w:t>、教室采光和照明</w:t>
            </w:r>
            <w:r>
              <w:rPr>
                <w:rFonts w:hint="default" w:ascii="Times New Roman" w:hAnsi="Times New Roman" w:eastAsia="仿宋_GB2312" w:cs="Times New Roman"/>
                <w:color w:val="000000"/>
                <w:sz w:val="21"/>
                <w:szCs w:val="21"/>
                <w:vertAlign w:val="superscript"/>
                <w:lang w:eastAsia="zh-CN"/>
              </w:rPr>
              <w:t>（</w:t>
            </w:r>
            <w:r>
              <w:rPr>
                <w:rFonts w:hint="default" w:ascii="Times New Roman" w:hAnsi="Times New Roman" w:eastAsia="仿宋_GB2312" w:cs="Times New Roman"/>
                <w:color w:val="000000"/>
                <w:sz w:val="21"/>
                <w:szCs w:val="21"/>
                <w:vertAlign w:val="superscript"/>
              </w:rPr>
              <w:t>b</w:t>
            </w:r>
            <w:r>
              <w:rPr>
                <w:rFonts w:hint="default" w:ascii="Times New Roman" w:hAnsi="Times New Roman" w:eastAsia="仿宋_GB2312" w:cs="Times New Roman"/>
                <w:color w:val="000000"/>
                <w:sz w:val="21"/>
                <w:szCs w:val="21"/>
                <w:vertAlign w:val="superscript"/>
                <w:lang w:eastAsia="zh-CN"/>
              </w:rPr>
              <w:t>）</w:t>
            </w:r>
            <w:r>
              <w:rPr>
                <w:rFonts w:hint="default" w:ascii="Times New Roman" w:hAnsi="Times New Roman" w:eastAsia="仿宋_GB2312" w:cs="Times New Roman"/>
                <w:color w:val="000000"/>
                <w:sz w:val="21"/>
                <w:szCs w:val="21"/>
              </w:rPr>
              <w:t>、教室人均面积、教室和宿舍通风设施、教学楼厕所及洗手设施设置等情况</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2.学校落实传染病和常见病防控要求情况，包括专人负责疫情报告、传染病防控“一案八制”</w:t>
            </w:r>
            <w:r>
              <w:rPr>
                <w:rFonts w:hint="default" w:ascii="Times New Roman" w:hAnsi="Times New Roman" w:eastAsia="仿宋_GB2312" w:cs="Times New Roman"/>
                <w:color w:val="000000"/>
                <w:sz w:val="21"/>
                <w:szCs w:val="21"/>
                <w:vertAlign w:val="superscript"/>
                <w:lang w:eastAsia="zh-CN"/>
              </w:rPr>
              <w:t>（</w:t>
            </w:r>
            <w:r>
              <w:rPr>
                <w:rFonts w:hint="default" w:ascii="Times New Roman" w:hAnsi="Times New Roman" w:eastAsia="仿宋_GB2312" w:cs="Times New Roman"/>
                <w:color w:val="000000"/>
                <w:sz w:val="21"/>
                <w:szCs w:val="21"/>
                <w:vertAlign w:val="superscript"/>
              </w:rPr>
              <w:t>c</w:t>
            </w:r>
            <w:r>
              <w:rPr>
                <w:rFonts w:hint="default" w:ascii="Times New Roman" w:hAnsi="Times New Roman" w:eastAsia="仿宋_GB2312" w:cs="Times New Roman"/>
                <w:color w:val="000000"/>
                <w:sz w:val="21"/>
                <w:szCs w:val="21"/>
                <w:vertAlign w:val="superscript"/>
                <w:lang w:eastAsia="zh-CN"/>
              </w:rPr>
              <w:t>）</w:t>
            </w:r>
            <w:r>
              <w:rPr>
                <w:rFonts w:hint="default" w:ascii="Times New Roman" w:hAnsi="Times New Roman" w:eastAsia="仿宋_GB2312" w:cs="Times New Roman"/>
                <w:color w:val="000000"/>
                <w:sz w:val="21"/>
                <w:szCs w:val="21"/>
              </w:rPr>
              <w:t>、晨检记录和因病缺勤病因追查与登记记录、复课证明查验、新生入学接种证查验登记、每年按规定实施学生健康体检等情况</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3.学校落实饮用水卫生要求情况，包括使用自建设施集中式供水的学校落实水源卫生防护、配备使用水质消毒设施设备情况和使用二次供水的学校防止蓄水池周围污染和按规定开展蓄水池清洗消毒情况</w:t>
            </w:r>
          </w:p>
          <w:p>
            <w:pPr>
              <w:keepNext/>
              <w:keepLines/>
              <w:widowControl/>
              <w:spacing w:after="156" w:afterLines="50"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4.学校纳入卫生监督协管服务情况</w:t>
            </w:r>
          </w:p>
        </w:tc>
        <w:tc>
          <w:tcPr>
            <w:tcW w:w="4433" w:type="dxa"/>
            <w:noWrap w:val="0"/>
            <w:vAlign w:val="center"/>
          </w:tcPr>
          <w:p>
            <w:pPr>
              <w:keepNext/>
              <w:keepLines/>
              <w:widowControl/>
              <w:spacing w:before="156" w:beforeLines="50"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1.教室采光、照明及教室人均面积</w:t>
            </w:r>
          </w:p>
          <w:p>
            <w:pPr>
              <w:keepNext/>
              <w:keepLines/>
              <w:widowControl/>
              <w:spacing w:after="156" w:afterLines="50"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2.学校自建设施集中式供水和二次供水水质色度、浑浊度、臭和味、肉眼可见物、pH和消毒剂余量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1708" w:type="dxa"/>
            <w:noWrap w:val="0"/>
            <w:vAlign w:val="center"/>
          </w:tcPr>
          <w:p>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中小学校</w:t>
            </w:r>
          </w:p>
        </w:tc>
        <w:tc>
          <w:tcPr>
            <w:tcW w:w="2127" w:type="dxa"/>
            <w:noWrap w:val="0"/>
            <w:vAlign w:val="center"/>
          </w:tcPr>
          <w:p>
            <w:pPr>
              <w:keepNext/>
              <w:keepLines/>
              <w:widowControl/>
              <w:spacing w:before="156" w:beforeLines="50" w:after="156" w:afterLines="50" w:line="240" w:lineRule="exac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2014年以来没有开展过学校卫生综合评价的全部学校</w:t>
            </w:r>
            <w:r>
              <w:rPr>
                <w:rFonts w:hint="default" w:ascii="Times New Roman" w:hAnsi="Times New Roman" w:eastAsia="仿宋_GB2312" w:cs="Times New Roman"/>
                <w:color w:val="000000"/>
                <w:sz w:val="21"/>
                <w:szCs w:val="21"/>
                <w:vertAlign w:val="superscript"/>
                <w:lang w:eastAsia="zh-CN"/>
              </w:rPr>
              <w:t>（</w:t>
            </w:r>
            <w:r>
              <w:rPr>
                <w:rFonts w:hint="default" w:ascii="Times New Roman" w:hAnsi="Times New Roman" w:eastAsia="仿宋_GB2312" w:cs="Times New Roman"/>
                <w:color w:val="000000"/>
                <w:sz w:val="21"/>
                <w:szCs w:val="21"/>
                <w:vertAlign w:val="superscript"/>
              </w:rPr>
              <w:t>d</w:t>
            </w:r>
            <w:r>
              <w:rPr>
                <w:rFonts w:hint="default" w:ascii="Times New Roman" w:hAnsi="Times New Roman" w:eastAsia="仿宋_GB2312" w:cs="Times New Roman"/>
                <w:color w:val="000000"/>
                <w:sz w:val="21"/>
                <w:szCs w:val="21"/>
                <w:vertAlign w:val="superscript"/>
                <w:lang w:eastAsia="zh-CN"/>
              </w:rPr>
              <w:t>）</w:t>
            </w:r>
          </w:p>
        </w:tc>
        <w:tc>
          <w:tcPr>
            <w:tcW w:w="5705" w:type="dxa"/>
            <w:noWrap w:val="0"/>
            <w:vAlign w:val="center"/>
          </w:tcPr>
          <w:p>
            <w:pPr>
              <w:keepNext/>
              <w:keepLines/>
              <w:widowControl/>
              <w:spacing w:before="156" w:beforeLines="50" w:after="156" w:afterLines="50"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检查《学校卫生综合评价》（GB/T18205）所列学校传染病防控、常见病与多发病防治、生活饮用水、教室和生活环境、公共场所及突发公共卫生事件卫生管理等方面情况。</w:t>
            </w:r>
          </w:p>
        </w:tc>
        <w:tc>
          <w:tcPr>
            <w:tcW w:w="4433" w:type="dxa"/>
            <w:noWrap w:val="0"/>
            <w:vAlign w:val="center"/>
          </w:tcPr>
          <w:p>
            <w:pPr>
              <w:keepNext/>
              <w:keepLines/>
              <w:widowControl/>
              <w:spacing w:before="93" w:beforeLines="30" w:after="93" w:afterLines="30" w:line="260" w:lineRule="exact"/>
              <w:rPr>
                <w:rFonts w:hint="default" w:ascii="Times New Roman" w:hAnsi="Times New Roman" w:eastAsia="仿宋_GB2312" w:cs="Times New Roman"/>
                <w:color w:val="000000"/>
                <w:sz w:val="21"/>
                <w:szCs w:val="21"/>
              </w:rPr>
            </w:pPr>
          </w:p>
        </w:tc>
      </w:tr>
    </w:tbl>
    <w:p>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a.指每间教室至少设有2种不同高低型号的课桌椅，且每人一席。</w:t>
      </w:r>
    </w:p>
    <w:p>
      <w:pPr>
        <w:pStyle w:val="6"/>
        <w:keepNext w:val="0"/>
        <w:keepLines w:val="0"/>
        <w:pageBreakBefore w:val="0"/>
        <w:widowControl w:val="0"/>
        <w:kinsoku/>
        <w:wordWrap/>
        <w:overflowPunct/>
        <w:topLinePunct w:val="0"/>
        <w:autoSpaceDE/>
        <w:autoSpaceDN/>
        <w:bidi w:val="0"/>
        <w:adjustRightInd/>
        <w:snapToGrid w:val="0"/>
        <w:spacing w:line="400" w:lineRule="exact"/>
        <w:ind w:left="240" w:leftChars="0" w:hanging="240" w:hangingChars="10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b.教室采光和照明检查项目含窗地面积比、采光方向、防眩光措施、装设人工照明、黑板局部照明灯设置、课桌面照度及均匀度、黑板照度及均匀度，按照</w:t>
      </w:r>
      <w:r>
        <w:rPr>
          <w:rFonts w:hint="default" w:ascii="Times New Roman" w:hAnsi="Times New Roman" w:eastAsia="仿宋_GB2312" w:cs="Times New Roman"/>
          <w:bCs/>
          <w:color w:val="000000"/>
          <w:kern w:val="0"/>
          <w:sz w:val="24"/>
          <w:szCs w:val="24"/>
        </w:rPr>
        <w:t>《中小学校教室采光和照明卫生标准》（GB7793）的规定进行达标判定</w:t>
      </w:r>
      <w:r>
        <w:rPr>
          <w:rFonts w:hint="default" w:ascii="Times New Roman" w:hAnsi="Times New Roman" w:eastAsia="仿宋_GB2312" w:cs="Times New Roman"/>
          <w:color w:val="000000"/>
          <w:sz w:val="24"/>
          <w:szCs w:val="24"/>
        </w:rPr>
        <w:t>。</w:t>
      </w:r>
    </w:p>
    <w:p>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c.指《中小学校传染病预防控制工作管理规范》（GB28932）第4.8条规定的传染病预防控制应急预案和相关制度。</w:t>
      </w:r>
    </w:p>
    <w:p>
      <w:pPr>
        <w:pStyle w:val="6"/>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left"/>
        <w:textAlignment w:val="auto"/>
        <w:rPr>
          <w:rFonts w:hint="default" w:ascii="Times New Roman" w:hAnsi="Times New Roman" w:eastAsia="华文仿宋" w:cs="Times New Roman"/>
          <w:color w:val="000000"/>
          <w:sz w:val="24"/>
          <w:szCs w:val="24"/>
        </w:rPr>
      </w:pPr>
      <w:r>
        <w:rPr>
          <w:rFonts w:hint="default" w:ascii="Times New Roman" w:hAnsi="Times New Roman" w:eastAsia="仿宋_GB2312" w:cs="Times New Roman"/>
          <w:color w:val="000000"/>
          <w:sz w:val="24"/>
          <w:szCs w:val="24"/>
        </w:rPr>
        <w:t>d.学校卫生综合评价工作的范围和数量不纳入双随机抽查机制，各地根据当地实际确定学校。</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0"/>
          <w:szCs w:val="30"/>
        </w:rPr>
        <w:br w:type="page"/>
      </w:r>
      <w:r>
        <w:rPr>
          <w:rFonts w:hint="default" w:ascii="Times New Roman" w:hAnsi="Times New Roman" w:eastAsia="黑体" w:cs="Times New Roman"/>
          <w:color w:val="000000"/>
          <w:sz w:val="32"/>
          <w:szCs w:val="32"/>
        </w:rPr>
        <w:t>附表2</w:t>
      </w:r>
    </w:p>
    <w:p>
      <w:pPr>
        <w:keepNext w:val="0"/>
        <w:keepLines w:val="0"/>
        <w:pageBreakBefore w:val="0"/>
        <w:widowControl/>
        <w:kinsoku/>
        <w:wordWrap/>
        <w:overflowPunct/>
        <w:topLinePunct w:val="0"/>
        <w:autoSpaceDE/>
        <w:autoSpaceDN/>
        <w:bidi w:val="0"/>
        <w:adjustRightInd/>
        <w:snapToGrid/>
        <w:spacing w:before="63" w:beforeLines="20" w:after="157" w:afterLines="50" w:line="70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2020年公共场所卫生国家随机监督抽查工作计划表</w:t>
      </w:r>
    </w:p>
    <w:tbl>
      <w:tblPr>
        <w:tblStyle w:val="3"/>
        <w:tblW w:w="13633"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725"/>
        <w:gridCol w:w="4665"/>
        <w:gridCol w:w="45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483" w:type="dxa"/>
            <w:noWrap w:val="0"/>
            <w:vAlign w:val="center"/>
          </w:tcPr>
          <w:p>
            <w:pPr>
              <w:widowControl/>
              <w:spacing w:line="28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监督检查对象</w:t>
            </w:r>
          </w:p>
        </w:tc>
        <w:tc>
          <w:tcPr>
            <w:tcW w:w="1725" w:type="dxa"/>
            <w:noWrap w:val="0"/>
            <w:vAlign w:val="center"/>
          </w:tcPr>
          <w:p>
            <w:pPr>
              <w:widowControl/>
              <w:spacing w:line="28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抽查范围和数量</w:t>
            </w:r>
          </w:p>
        </w:tc>
        <w:tc>
          <w:tcPr>
            <w:tcW w:w="4665" w:type="dxa"/>
            <w:noWrap w:val="0"/>
            <w:vAlign w:val="center"/>
          </w:tcPr>
          <w:p>
            <w:pPr>
              <w:widowControl/>
              <w:spacing w:line="28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检查内容</w:t>
            </w:r>
          </w:p>
        </w:tc>
        <w:tc>
          <w:tcPr>
            <w:tcW w:w="4530" w:type="dxa"/>
            <w:noWrap w:val="0"/>
            <w:vAlign w:val="center"/>
          </w:tcPr>
          <w:p>
            <w:pPr>
              <w:widowControl/>
              <w:spacing w:line="28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检测项目</w:t>
            </w:r>
          </w:p>
        </w:tc>
        <w:tc>
          <w:tcPr>
            <w:tcW w:w="1230" w:type="dxa"/>
            <w:noWrap w:val="0"/>
            <w:vAlign w:val="center"/>
          </w:tcPr>
          <w:p>
            <w:pPr>
              <w:widowControl/>
              <w:spacing w:line="280" w:lineRule="exact"/>
              <w:jc w:val="center"/>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exact"/>
          <w:jc w:val="center"/>
        </w:trPr>
        <w:tc>
          <w:tcPr>
            <w:tcW w:w="1483" w:type="dxa"/>
            <w:noWrap w:val="0"/>
            <w:vAlign w:val="center"/>
          </w:tcPr>
          <w:p>
            <w:pPr>
              <w:widowControl/>
              <w:spacing w:line="24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游泳场所</w:t>
            </w:r>
          </w:p>
        </w:tc>
        <w:tc>
          <w:tcPr>
            <w:tcW w:w="1725" w:type="dxa"/>
            <w:vMerge w:val="restart"/>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各地级以上市监督机构系统管理员登陆国家卫生计生监督平台接受任务</w:t>
            </w:r>
          </w:p>
        </w:tc>
        <w:tc>
          <w:tcPr>
            <w:tcW w:w="4665" w:type="dxa"/>
            <w:vMerge w:val="restart"/>
            <w:noWrap w:val="0"/>
            <w:vAlign w:val="top"/>
          </w:tcPr>
          <w:p>
            <w:pPr>
              <w:keepNext/>
              <w:keepLines/>
              <w:pageBreakBefore w:val="0"/>
              <w:widowControl/>
              <w:kinsoku/>
              <w:wordWrap/>
              <w:overflowPunct/>
              <w:topLinePunct w:val="0"/>
              <w:autoSpaceDE/>
              <w:autoSpaceDN/>
              <w:bidi w:val="0"/>
              <w:adjustRightInd/>
              <w:snapToGrid/>
              <w:spacing w:before="156" w:beforeLines="50"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1.设置卫生管理部门或人员情况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2.建立卫生管理档案情况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3.从业人员健康体检情况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4.设置禁止吸烟警语标志情况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5.对空气、水质、顾客用品用具等进行卫生检测情况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6.公示卫生许可证、卫生信誉度等级和卫生检测信息情况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7.对顾客用品用具进行清洗、消毒、保洁情况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8.实施卫生监督量化分级管理情况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9.住宿场所按照《艾滋病防治条例》放置安全套或者设置安全套发售设施情况</w:t>
            </w:r>
          </w:p>
          <w:p>
            <w:pPr>
              <w:keepNext/>
              <w:keepLines/>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10.生活美容场所违法开展医疗美容情况</w:t>
            </w:r>
          </w:p>
        </w:tc>
        <w:tc>
          <w:tcPr>
            <w:tcW w:w="4530" w:type="dxa"/>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1.泳池水浑浊度、pH、游离性余氯、尿素、菌落总数、大肠菌群</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2.浸脚池水游离性余氯</w:t>
            </w:r>
          </w:p>
        </w:tc>
        <w:tc>
          <w:tcPr>
            <w:tcW w:w="1230" w:type="dxa"/>
            <w:vMerge w:val="restart"/>
            <w:noWrap w:val="0"/>
            <w:vAlign w:val="center"/>
          </w:tcPr>
          <w:p>
            <w:pPr>
              <w:keepNext/>
              <w:keepLines/>
              <w:widowControl/>
              <w:spacing w:line="240" w:lineRule="exact"/>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省卫生监督所国家随机监督抽查的检测工作由属地疾控中心负责，任务清单另行发放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1483" w:type="dxa"/>
            <w:noWrap w:val="0"/>
            <w:vAlign w:val="center"/>
          </w:tcPr>
          <w:p>
            <w:pPr>
              <w:widowControl/>
              <w:spacing w:line="24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bCs/>
                <w:color w:val="000000"/>
                <w:sz w:val="21"/>
                <w:szCs w:val="21"/>
              </w:rPr>
              <w:t>住宿场所</w:t>
            </w:r>
          </w:p>
        </w:tc>
        <w:tc>
          <w:tcPr>
            <w:tcW w:w="1725" w:type="dxa"/>
            <w:vMerge w:val="continue"/>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p>
        </w:tc>
        <w:tc>
          <w:tcPr>
            <w:tcW w:w="4665" w:type="dxa"/>
            <w:vMerge w:val="continue"/>
            <w:noWrap w:val="0"/>
            <w:vAlign w:val="center"/>
          </w:tcPr>
          <w:p>
            <w:pPr>
              <w:widowControl/>
              <w:spacing w:line="280" w:lineRule="exact"/>
              <w:jc w:val="left"/>
              <w:rPr>
                <w:rFonts w:hint="default" w:ascii="Times New Roman" w:hAnsi="Times New Roman" w:eastAsia="仿宋_GB2312" w:cs="Times New Roman"/>
                <w:color w:val="000000"/>
                <w:sz w:val="21"/>
                <w:szCs w:val="21"/>
              </w:rPr>
            </w:pPr>
          </w:p>
        </w:tc>
        <w:tc>
          <w:tcPr>
            <w:tcW w:w="4530" w:type="dxa"/>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1.棉织品外观、细菌总数、大肠菌群、金黄色葡萄球菌、pH</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2.杯具外观、细菌总数、大肠菌群</w:t>
            </w:r>
          </w:p>
        </w:tc>
        <w:tc>
          <w:tcPr>
            <w:tcW w:w="1230" w:type="dxa"/>
            <w:vMerge w:val="continue"/>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exact"/>
          <w:jc w:val="center"/>
        </w:trPr>
        <w:tc>
          <w:tcPr>
            <w:tcW w:w="1483" w:type="dxa"/>
            <w:noWrap w:val="0"/>
            <w:vAlign w:val="center"/>
          </w:tcPr>
          <w:p>
            <w:pPr>
              <w:widowControl/>
              <w:spacing w:line="24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沐浴场所</w:t>
            </w:r>
          </w:p>
        </w:tc>
        <w:tc>
          <w:tcPr>
            <w:tcW w:w="1725" w:type="dxa"/>
            <w:vMerge w:val="continue"/>
            <w:noWrap w:val="0"/>
            <w:vAlign w:val="center"/>
          </w:tcPr>
          <w:p>
            <w:pPr>
              <w:spacing w:line="240" w:lineRule="exact"/>
              <w:rPr>
                <w:rFonts w:hint="default" w:ascii="Times New Roman" w:hAnsi="Times New Roman" w:eastAsia="仿宋_GB2312" w:cs="Times New Roman"/>
                <w:color w:val="000000"/>
                <w:sz w:val="21"/>
                <w:szCs w:val="21"/>
              </w:rPr>
            </w:pPr>
          </w:p>
        </w:tc>
        <w:tc>
          <w:tcPr>
            <w:tcW w:w="4665" w:type="dxa"/>
            <w:vMerge w:val="continue"/>
            <w:noWrap w:val="0"/>
            <w:vAlign w:val="center"/>
          </w:tcPr>
          <w:p>
            <w:pPr>
              <w:widowControl/>
              <w:spacing w:line="280" w:lineRule="exact"/>
              <w:jc w:val="left"/>
              <w:rPr>
                <w:rFonts w:hint="default" w:ascii="Times New Roman" w:hAnsi="Times New Roman" w:eastAsia="仿宋_GB2312" w:cs="Times New Roman"/>
                <w:color w:val="000000"/>
                <w:sz w:val="21"/>
                <w:szCs w:val="21"/>
              </w:rPr>
            </w:pPr>
          </w:p>
        </w:tc>
        <w:tc>
          <w:tcPr>
            <w:tcW w:w="4530" w:type="dxa"/>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1.棉织品外观、细菌总数、大肠菌群、金黄色葡萄球菌、pH</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2.沐浴用水嗜肺军团菌、池水浊度</w:t>
            </w:r>
          </w:p>
        </w:tc>
        <w:tc>
          <w:tcPr>
            <w:tcW w:w="1230" w:type="dxa"/>
            <w:vMerge w:val="continue"/>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exact"/>
          <w:jc w:val="center"/>
        </w:trPr>
        <w:tc>
          <w:tcPr>
            <w:tcW w:w="1483" w:type="dxa"/>
            <w:noWrap w:val="0"/>
            <w:vAlign w:val="center"/>
          </w:tcPr>
          <w:p>
            <w:pPr>
              <w:widowControl/>
              <w:spacing w:line="24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美容美发场所</w:t>
            </w:r>
            <w:r>
              <w:rPr>
                <w:rFonts w:hint="default" w:ascii="Times New Roman" w:hAnsi="Times New Roman" w:eastAsia="仿宋_GB2312" w:cs="Times New Roman"/>
                <w:color w:val="000000"/>
                <w:sz w:val="21"/>
                <w:szCs w:val="21"/>
                <w:vertAlign w:val="superscript"/>
              </w:rPr>
              <w:t xml:space="preserve"> (</w:t>
            </w:r>
            <w:r>
              <w:rPr>
                <w:rFonts w:hint="default" w:ascii="Times New Roman" w:hAnsi="Times New Roman" w:eastAsia="仿宋_GB2312" w:cs="Times New Roman"/>
                <w:color w:val="000000"/>
                <w:sz w:val="21"/>
                <w:szCs w:val="21"/>
                <w:vertAlign w:val="superscript"/>
                <w:lang w:val="en-US" w:eastAsia="zh-CN"/>
              </w:rPr>
              <w:t>a</w:t>
            </w:r>
            <w:r>
              <w:rPr>
                <w:rFonts w:hint="default" w:ascii="Times New Roman" w:hAnsi="Times New Roman" w:eastAsia="仿宋_GB2312" w:cs="Times New Roman"/>
                <w:color w:val="000000"/>
                <w:sz w:val="21"/>
                <w:szCs w:val="21"/>
                <w:vertAlign w:val="superscript"/>
              </w:rPr>
              <w:t>)</w:t>
            </w:r>
          </w:p>
        </w:tc>
        <w:tc>
          <w:tcPr>
            <w:tcW w:w="1725" w:type="dxa"/>
            <w:vMerge w:val="continue"/>
            <w:noWrap w:val="0"/>
            <w:vAlign w:val="center"/>
          </w:tcPr>
          <w:p>
            <w:pPr>
              <w:widowControl/>
              <w:spacing w:line="240" w:lineRule="exact"/>
              <w:rPr>
                <w:rFonts w:hint="default" w:ascii="Times New Roman" w:hAnsi="Times New Roman" w:eastAsia="仿宋_GB2312" w:cs="Times New Roman"/>
                <w:color w:val="000000"/>
                <w:sz w:val="21"/>
                <w:szCs w:val="21"/>
              </w:rPr>
            </w:pPr>
          </w:p>
        </w:tc>
        <w:tc>
          <w:tcPr>
            <w:tcW w:w="4665" w:type="dxa"/>
            <w:vMerge w:val="continue"/>
            <w:noWrap w:val="0"/>
            <w:vAlign w:val="center"/>
          </w:tcPr>
          <w:p>
            <w:pPr>
              <w:widowControl/>
              <w:spacing w:line="280" w:lineRule="exact"/>
              <w:jc w:val="left"/>
              <w:rPr>
                <w:rFonts w:hint="default" w:ascii="Times New Roman" w:hAnsi="Times New Roman" w:eastAsia="仿宋_GB2312" w:cs="Times New Roman"/>
                <w:color w:val="000000"/>
                <w:sz w:val="21"/>
                <w:szCs w:val="21"/>
              </w:rPr>
            </w:pPr>
          </w:p>
        </w:tc>
        <w:tc>
          <w:tcPr>
            <w:tcW w:w="4530" w:type="dxa"/>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1.美容美发工具细菌总数、大肠菌群、金黄色葡萄球菌</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2.棉织品外观、细菌总数、大肠菌群、金黄色葡萄球菌、pH</w:t>
            </w:r>
          </w:p>
        </w:tc>
        <w:tc>
          <w:tcPr>
            <w:tcW w:w="1230" w:type="dxa"/>
            <w:vMerge w:val="continue"/>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483" w:type="dxa"/>
            <w:noWrap w:val="0"/>
            <w:vAlign w:val="center"/>
          </w:tcPr>
          <w:p>
            <w:pPr>
              <w:widowControl/>
              <w:spacing w:line="24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其他公共场所</w:t>
            </w:r>
          </w:p>
        </w:tc>
        <w:tc>
          <w:tcPr>
            <w:tcW w:w="1725" w:type="dxa"/>
            <w:vMerge w:val="continue"/>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p>
        </w:tc>
        <w:tc>
          <w:tcPr>
            <w:tcW w:w="4665" w:type="dxa"/>
            <w:vMerge w:val="continue"/>
            <w:noWrap w:val="0"/>
            <w:vAlign w:val="center"/>
          </w:tcPr>
          <w:p>
            <w:pPr>
              <w:widowControl/>
              <w:spacing w:line="280" w:lineRule="exact"/>
              <w:jc w:val="left"/>
              <w:rPr>
                <w:rFonts w:hint="default" w:ascii="Times New Roman" w:hAnsi="Times New Roman" w:eastAsia="仿宋_GB2312" w:cs="Times New Roman"/>
                <w:color w:val="000000"/>
                <w:sz w:val="21"/>
                <w:szCs w:val="21"/>
              </w:rPr>
            </w:pPr>
          </w:p>
        </w:tc>
        <w:tc>
          <w:tcPr>
            <w:tcW w:w="4530" w:type="dxa"/>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室内空气中CO2、甲醛、苯、甲苯、二甲苯</w:t>
            </w:r>
            <w:r>
              <w:rPr>
                <w:rFonts w:hint="default" w:ascii="Times New Roman" w:hAnsi="Times New Roman" w:eastAsia="仿宋_GB2312" w:cs="Times New Roman"/>
                <w:color w:val="000000"/>
                <w:sz w:val="21"/>
                <w:szCs w:val="21"/>
                <w:vertAlign w:val="superscript"/>
              </w:rPr>
              <w:t>(c)</w:t>
            </w:r>
          </w:p>
        </w:tc>
        <w:tc>
          <w:tcPr>
            <w:tcW w:w="1230" w:type="dxa"/>
            <w:vMerge w:val="continue"/>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exact"/>
          <w:jc w:val="center"/>
        </w:trPr>
        <w:tc>
          <w:tcPr>
            <w:tcW w:w="1483" w:type="dxa"/>
            <w:noWrap w:val="0"/>
            <w:vAlign w:val="center"/>
          </w:tcPr>
          <w:p>
            <w:pPr>
              <w:widowControl/>
              <w:spacing w:line="24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集中空调</w:t>
            </w:r>
          </w:p>
        </w:tc>
        <w:tc>
          <w:tcPr>
            <w:tcW w:w="1725" w:type="dxa"/>
            <w:noWrap w:val="0"/>
            <w:vAlign w:val="center"/>
          </w:tcPr>
          <w:p>
            <w:pPr>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辖区已抽取公共场所中使用集中空调通风系统的30户，数量不足的全部检查</w:t>
            </w:r>
          </w:p>
        </w:tc>
        <w:tc>
          <w:tcPr>
            <w:tcW w:w="4665" w:type="dxa"/>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1.建立集中空调通风系统卫生档案情况</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2.开展集中空调通风系统卫生检测或卫生学评价情况</w:t>
            </w:r>
            <w:r>
              <w:rPr>
                <w:rFonts w:hint="default" w:ascii="Times New Roman" w:hAnsi="Times New Roman" w:eastAsia="仿宋_GB2312" w:cs="Times New Roman"/>
                <w:color w:val="000000"/>
                <w:sz w:val="21"/>
                <w:szCs w:val="21"/>
                <w:vertAlign w:val="superscript"/>
              </w:rPr>
              <w:t xml:space="preserve"> (b)</w:t>
            </w:r>
            <w:r>
              <w:rPr>
                <w:rFonts w:hint="default" w:ascii="Times New Roman" w:hAnsi="Times New Roman" w:eastAsia="仿宋_GB2312" w:cs="Times New Roman"/>
                <w:color w:val="000000"/>
                <w:sz w:val="21"/>
                <w:szCs w:val="21"/>
              </w:rPr>
              <w:t xml:space="preserve"> </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3.开展集中空调通风系统清洗消毒情况</w:t>
            </w:r>
          </w:p>
        </w:tc>
        <w:tc>
          <w:tcPr>
            <w:tcW w:w="4530" w:type="dxa"/>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1.风管内表面积尘量、细菌总数、真菌总数</w:t>
            </w:r>
            <w:r>
              <w:rPr>
                <w:rFonts w:hint="default" w:ascii="Times New Roman" w:hAnsi="Times New Roman" w:eastAsia="仿宋_GB2312" w:cs="Times New Roman"/>
                <w:color w:val="000000"/>
                <w:sz w:val="21"/>
                <w:szCs w:val="21"/>
                <w:vertAlign w:val="superscript"/>
              </w:rPr>
              <w:t>(d)</w:t>
            </w:r>
          </w:p>
          <w:p>
            <w:pPr>
              <w:keepNext/>
              <w:keepLines/>
              <w:widowControl/>
              <w:spacing w:line="24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2.冷却水中嗜肺军团菌</w:t>
            </w:r>
            <w:r>
              <w:rPr>
                <w:rFonts w:hint="default" w:ascii="Times New Roman" w:hAnsi="Times New Roman" w:eastAsia="仿宋_GB2312" w:cs="Times New Roman"/>
                <w:color w:val="000000"/>
                <w:sz w:val="21"/>
                <w:szCs w:val="21"/>
                <w:vertAlign w:val="superscript"/>
              </w:rPr>
              <w:t>(e)</w:t>
            </w:r>
          </w:p>
        </w:tc>
        <w:tc>
          <w:tcPr>
            <w:tcW w:w="1230" w:type="dxa"/>
            <w:vMerge w:val="continue"/>
            <w:noWrap w:val="0"/>
            <w:vAlign w:val="center"/>
          </w:tcPr>
          <w:p>
            <w:pPr>
              <w:keepNext/>
              <w:keepLines/>
              <w:widowControl/>
              <w:spacing w:line="240" w:lineRule="exact"/>
              <w:rPr>
                <w:rFonts w:hint="default" w:ascii="Times New Roman" w:hAnsi="Times New Roman" w:eastAsia="仿宋_GB2312" w:cs="Times New Roman"/>
                <w:color w:val="000000"/>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210" w:firstLineChars="10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a.</w:t>
      </w:r>
      <w:r>
        <w:rPr>
          <w:rFonts w:hint="default" w:ascii="Times New Roman" w:hAnsi="Times New Roman" w:eastAsia="仿宋_GB2312" w:cs="Times New Roman"/>
          <w:color w:val="000000"/>
          <w:kern w:val="0"/>
          <w:sz w:val="21"/>
          <w:szCs w:val="21"/>
        </w:rPr>
        <w:t>美容美发场所按抽查任务的20%进行检测。b.使用单位需提供集中空调通风系统卫生检测报告复印件。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10" w:firstLineChars="10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c.只对6个月内进行过室内大面积装修的场所检测甲醛、苯、甲苯、二甲苯项目。d.使用无风管集中空调通风系统的，该指标合理缺项。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210" w:firstLineChars="100"/>
        <w:jc w:val="left"/>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kern w:val="0"/>
          <w:sz w:val="21"/>
          <w:szCs w:val="21"/>
        </w:rPr>
        <w:t>e.</w:t>
      </w:r>
      <w:r>
        <w:rPr>
          <w:rFonts w:hint="default" w:ascii="Times New Roman" w:hAnsi="Times New Roman" w:eastAsia="仿宋_GB2312" w:cs="Times New Roman"/>
          <w:color w:val="000000"/>
          <w:sz w:val="21"/>
          <w:szCs w:val="21"/>
        </w:rPr>
        <w:t>使用非开放式冷却塔集中空调通风系统的，该指标合理缺项。</w:t>
      </w:r>
      <w:r>
        <w:rPr>
          <w:rFonts w:hint="default" w:ascii="Times New Roman" w:hAnsi="Times New Roman" w:eastAsia="黑体" w:cs="Times New Roman"/>
          <w:color w:val="000000"/>
          <w:sz w:val="30"/>
          <w:szCs w:val="30"/>
        </w:rPr>
        <w:br w:type="page"/>
      </w:r>
      <w:r>
        <w:rPr>
          <w:rFonts w:hint="default" w:ascii="Times New Roman" w:hAnsi="Times New Roman" w:eastAsia="黑体" w:cs="Times New Roman"/>
          <w:color w:val="000000"/>
          <w:sz w:val="32"/>
          <w:szCs w:val="32"/>
        </w:rPr>
        <w:t>附表3</w:t>
      </w:r>
    </w:p>
    <w:p>
      <w:pPr>
        <w:keepNext w:val="0"/>
        <w:keepLines w:val="0"/>
        <w:pageBreakBefore w:val="0"/>
        <w:widowControl w:val="0"/>
        <w:kinsoku/>
        <w:wordWrap/>
        <w:overflowPunct/>
        <w:topLinePunct w:val="0"/>
        <w:autoSpaceDE/>
        <w:autoSpaceDN/>
        <w:bidi w:val="0"/>
        <w:adjustRightInd/>
        <w:snapToGrid/>
        <w:spacing w:before="63" w:beforeLines="20" w:after="157" w:afterLines="5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2020年生活饮用水卫生国家随机监督抽查工作计划表</w:t>
      </w:r>
    </w:p>
    <w:tbl>
      <w:tblPr>
        <w:tblStyle w:val="3"/>
        <w:tblW w:w="13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6237"/>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771" w:type="dxa"/>
            <w:noWrap w:val="0"/>
            <w:vAlign w:val="center"/>
          </w:tcPr>
          <w:p>
            <w:pPr>
              <w:spacing w:line="3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监督检查</w:t>
            </w:r>
          </w:p>
          <w:p>
            <w:pPr>
              <w:spacing w:line="3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对象</w:t>
            </w:r>
            <w:r>
              <w:rPr>
                <w:rFonts w:hint="eastAsia" w:ascii="黑体" w:hAnsi="黑体" w:eastAsia="黑体" w:cs="黑体"/>
                <w:color w:val="000000"/>
                <w:sz w:val="28"/>
                <w:szCs w:val="28"/>
                <w:vertAlign w:val="superscript"/>
              </w:rPr>
              <w:t>(a)</w:t>
            </w:r>
          </w:p>
        </w:tc>
        <w:tc>
          <w:tcPr>
            <w:tcW w:w="6237" w:type="dxa"/>
            <w:noWrap w:val="0"/>
            <w:vAlign w:val="center"/>
          </w:tcPr>
          <w:p>
            <w:pPr>
              <w:spacing w:line="3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范围和数量</w:t>
            </w:r>
          </w:p>
        </w:tc>
        <w:tc>
          <w:tcPr>
            <w:tcW w:w="4111" w:type="dxa"/>
            <w:noWrap w:val="0"/>
            <w:vAlign w:val="center"/>
          </w:tcPr>
          <w:p>
            <w:pPr>
              <w:spacing w:line="3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检查内容</w:t>
            </w:r>
          </w:p>
        </w:tc>
        <w:tc>
          <w:tcPr>
            <w:tcW w:w="1875" w:type="dxa"/>
            <w:noWrap w:val="0"/>
            <w:vAlign w:val="center"/>
          </w:tcPr>
          <w:p>
            <w:pPr>
              <w:spacing w:line="32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城市集中式供水</w:t>
            </w:r>
          </w:p>
        </w:tc>
        <w:tc>
          <w:tcPr>
            <w:tcW w:w="62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各地级以上市监督机构系统管理员登陆国家卫生计生监督平台接受任务清单。</w:t>
            </w:r>
          </w:p>
        </w:tc>
        <w:tc>
          <w:tcPr>
            <w:tcW w:w="41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1.持有卫生许可证情况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2.水源卫生防护情况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3.供管水人员健康体检和培训情况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4.涉水产品卫生许可批件情况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5.水质消毒情况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6.水质自检情况</w:t>
            </w:r>
            <w:r>
              <w:rPr>
                <w:rFonts w:hint="default" w:ascii="Times New Roman" w:hAnsi="Times New Roman" w:eastAsia="仿宋_GB2312" w:cs="Times New Roman"/>
                <w:color w:val="000000"/>
                <w:sz w:val="24"/>
                <w:szCs w:val="24"/>
                <w:vertAlign w:val="superscript"/>
              </w:rPr>
              <w:t>(e)</w:t>
            </w:r>
          </w:p>
        </w:tc>
        <w:tc>
          <w:tcPr>
            <w:tcW w:w="18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农村集中式供水</w:t>
            </w:r>
            <w:r>
              <w:rPr>
                <w:rFonts w:hint="default" w:ascii="Times New Roman" w:hAnsi="Times New Roman" w:eastAsia="仿宋_GB2312" w:cs="Times New Roman"/>
                <w:color w:val="000000"/>
                <w:sz w:val="24"/>
                <w:szCs w:val="24"/>
                <w:vertAlign w:val="superscript"/>
              </w:rPr>
              <w:t>(b)</w:t>
            </w:r>
          </w:p>
        </w:tc>
        <w:tc>
          <w:tcPr>
            <w:tcW w:w="62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val="en-US" w:eastAsia="zh-CN"/>
              </w:rPr>
              <w:t>各地级以上市监督机构系统管理员登陆国家卫生计生监督平台接受任务清单。</w:t>
            </w:r>
          </w:p>
        </w:tc>
        <w:tc>
          <w:tcPr>
            <w:tcW w:w="41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p>
        </w:tc>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小型集中式供水</w:t>
            </w:r>
          </w:p>
        </w:tc>
        <w:tc>
          <w:tcPr>
            <w:tcW w:w="62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每个县、县级市辖区在用小型集中式供水的乡镇数的至少30%</w:t>
            </w:r>
            <w:r>
              <w:rPr>
                <w:rFonts w:hint="default" w:ascii="Times New Roman" w:hAnsi="Times New Roman" w:eastAsia="仿宋_GB2312" w:cs="Times New Roman"/>
                <w:color w:val="000000"/>
                <w:sz w:val="24"/>
                <w:szCs w:val="24"/>
                <w:vertAlign w:val="superscript"/>
              </w:rPr>
              <w:t>(c)</w:t>
            </w:r>
          </w:p>
        </w:tc>
        <w:tc>
          <w:tcPr>
            <w:tcW w:w="41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1.饮用水卫生安全巡查服务开展情况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2.持有卫生许可证情况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3.处罚情况</w:t>
            </w:r>
          </w:p>
        </w:tc>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4"/>
                <w:szCs w:val="24"/>
              </w:rPr>
            </w:pPr>
          </w:p>
        </w:tc>
        <w:tc>
          <w:tcPr>
            <w:tcW w:w="62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每个县、县级市辖区农村设计日供水100m</w:t>
            </w:r>
            <w:r>
              <w:rPr>
                <w:rFonts w:hint="default" w:ascii="Times New Roman" w:hAnsi="Times New Roman" w:eastAsia="仿宋_GB2312" w:cs="Times New Roman"/>
                <w:color w:val="000000"/>
                <w:sz w:val="24"/>
                <w:szCs w:val="24"/>
                <w:vertAlign w:val="superscript"/>
              </w:rPr>
              <w:t>3</w:t>
            </w:r>
            <w:r>
              <w:rPr>
                <w:rFonts w:hint="default" w:ascii="Times New Roman" w:hAnsi="Times New Roman" w:eastAsia="仿宋_GB2312" w:cs="Times New Roman"/>
                <w:color w:val="000000"/>
                <w:sz w:val="24"/>
                <w:szCs w:val="24"/>
              </w:rPr>
              <w:t>以上水厂数的30%</w:t>
            </w:r>
            <w:r>
              <w:rPr>
                <w:rFonts w:hint="default" w:ascii="Times New Roman" w:hAnsi="Times New Roman" w:eastAsia="仿宋_GB2312" w:cs="Times New Roman"/>
                <w:color w:val="000000"/>
                <w:sz w:val="24"/>
                <w:szCs w:val="24"/>
                <w:vertAlign w:val="superscript"/>
              </w:rPr>
              <w:t>(d)</w:t>
            </w:r>
          </w:p>
        </w:tc>
        <w:tc>
          <w:tcPr>
            <w:tcW w:w="41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p>
        </w:tc>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二次供水</w:t>
            </w:r>
          </w:p>
        </w:tc>
        <w:tc>
          <w:tcPr>
            <w:tcW w:w="623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每个县（区）10个二次供水设施，不足10个的全部检查</w:t>
            </w:r>
            <w:r>
              <w:rPr>
                <w:rFonts w:hint="default" w:ascii="Times New Roman" w:hAnsi="Times New Roman" w:eastAsia="仿宋_GB2312" w:cs="Times New Roman"/>
                <w:color w:val="000000"/>
                <w:sz w:val="24"/>
                <w:szCs w:val="24"/>
                <w:vertAlign w:val="superscript"/>
              </w:rPr>
              <w:t>(d)</w:t>
            </w:r>
          </w:p>
        </w:tc>
        <w:tc>
          <w:tcPr>
            <w:tcW w:w="41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1.供管水人员持健康体检和培训情况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2.设施防护及周围环境情况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3.储水设备定期清洗消毒情况</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4.水质自检情况</w:t>
            </w:r>
            <w:r>
              <w:rPr>
                <w:rFonts w:hint="default" w:ascii="Times New Roman" w:hAnsi="Times New Roman" w:eastAsia="仿宋_GB2312" w:cs="Times New Roman"/>
                <w:color w:val="000000"/>
                <w:sz w:val="24"/>
                <w:szCs w:val="24"/>
                <w:vertAlign w:val="superscript"/>
              </w:rPr>
              <w:t>(e)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5.饮用水卫生安全巡查服务开展情况</w:t>
            </w:r>
          </w:p>
        </w:tc>
        <w:tc>
          <w:tcPr>
            <w:tcW w:w="18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出水色度、浑浊度、臭和味、肉眼可见物、pH和消毒剂余量</w:t>
            </w:r>
          </w:p>
        </w:tc>
      </w:tr>
    </w:tbl>
    <w:p>
      <w:pPr>
        <w:spacing w:before="156" w:beforeLines="50" w:line="240" w:lineRule="exact"/>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    a.不含学校内的自建设施集中式供水和二次供水。</w:t>
      </w:r>
    </w:p>
    <w:p>
      <w:pPr>
        <w:spacing w:line="240" w:lineRule="exact"/>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    b.农村集中式供水为监督检查信息卡上标记类别为“乡镇”的集中式供水。</w:t>
      </w:r>
    </w:p>
    <w:p>
      <w:pPr>
        <w:spacing w:line="240" w:lineRule="exact"/>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    c.不纳入双随机抽查。</w:t>
      </w:r>
    </w:p>
    <w:p>
      <w:pPr>
        <w:spacing w:line="240" w:lineRule="exact"/>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    d.各地在综合卫生监督档案、饮用水卫生安全巡查档案或记录以及相关调查资料等信息的基础上自行制定清单并实施双随机抽查。</w:t>
      </w:r>
    </w:p>
    <w:p>
      <w:pPr>
        <w:spacing w:line="240" w:lineRule="exact"/>
        <w:jc w:val="left"/>
        <w:rPr>
          <w:rFonts w:hint="default" w:ascii="Times New Roman" w:hAnsi="Times New Roman" w:eastAsia="华文仿宋" w:cs="Times New Roman"/>
          <w:color w:val="000000"/>
          <w:kern w:val="0"/>
          <w:sz w:val="21"/>
          <w:szCs w:val="21"/>
        </w:rPr>
      </w:pPr>
      <w:r>
        <w:rPr>
          <w:rFonts w:hint="default" w:ascii="Times New Roman" w:hAnsi="Times New Roman" w:eastAsia="仿宋_GB2312" w:cs="Times New Roman"/>
          <w:color w:val="000000"/>
          <w:kern w:val="0"/>
          <w:sz w:val="21"/>
          <w:szCs w:val="21"/>
        </w:rPr>
        <w:t xml:space="preserve">    e.水质自检包括委托检测。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both"/>
        <w:textAlignment w:val="auto"/>
        <w:rPr>
          <w:rFonts w:hint="default" w:ascii="Times New Roman" w:hAnsi="Times New Roman" w:eastAsia="黑体" w:cs="Times New Roman"/>
          <w:color w:val="000000"/>
          <w:sz w:val="30"/>
          <w:szCs w:val="30"/>
        </w:rPr>
      </w:pPr>
      <w:r>
        <w:rPr>
          <w:rFonts w:hint="default" w:ascii="Times New Roman" w:hAnsi="Times New Roman" w:eastAsia="华文仿宋" w:cs="Times New Roman"/>
          <w:color w:val="000000"/>
          <w:kern w:val="0"/>
          <w:sz w:val="21"/>
          <w:szCs w:val="21"/>
        </w:rPr>
        <w:br w:type="page"/>
      </w:r>
      <w:r>
        <w:rPr>
          <w:rFonts w:hint="default" w:ascii="Times New Roman" w:hAnsi="Times New Roman" w:eastAsia="黑体" w:cs="Times New Roman"/>
          <w:color w:val="000000"/>
          <w:sz w:val="32"/>
          <w:szCs w:val="32"/>
        </w:rPr>
        <w:t>附表4</w:t>
      </w:r>
    </w:p>
    <w:p>
      <w:pPr>
        <w:keepNext w:val="0"/>
        <w:keepLines w:val="0"/>
        <w:pageBreakBefore w:val="0"/>
        <w:widowControl/>
        <w:kinsoku/>
        <w:wordWrap/>
        <w:overflowPunct/>
        <w:topLinePunct w:val="0"/>
        <w:autoSpaceDE/>
        <w:autoSpaceDN/>
        <w:bidi w:val="0"/>
        <w:adjustRightInd/>
        <w:snapToGrid/>
        <w:spacing w:before="63" w:beforeLines="20" w:after="157" w:afterLines="5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2020年涉水产品国家随机监督抽查工作计划表</w:t>
      </w:r>
    </w:p>
    <w:tbl>
      <w:tblPr>
        <w:tblStyle w:val="3"/>
        <w:tblW w:w="14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5257"/>
        <w:gridCol w:w="2551"/>
        <w:gridCol w:w="2836"/>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16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产品类别</w:t>
            </w:r>
          </w:p>
        </w:tc>
        <w:tc>
          <w:tcPr>
            <w:tcW w:w="5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范围和数量</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检查内容</w:t>
            </w:r>
          </w:p>
        </w:tc>
        <w:tc>
          <w:tcPr>
            <w:tcW w:w="283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检测项目</w:t>
            </w:r>
            <w:r>
              <w:rPr>
                <w:rFonts w:hint="eastAsia" w:ascii="黑体" w:hAnsi="黑体" w:eastAsia="黑体" w:cs="黑体"/>
                <w:color w:val="000000"/>
                <w:szCs w:val="21"/>
                <w:vertAlign w:val="superscript"/>
              </w:rPr>
              <w:t>(a)</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lang w:eastAsia="zh-CN"/>
              </w:rPr>
            </w:pPr>
            <w:r>
              <w:rPr>
                <w:rFonts w:hint="eastAsia" w:ascii="黑体" w:hAnsi="黑体" w:eastAsia="黑体" w:cs="黑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3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输配水设备</w:t>
            </w:r>
          </w:p>
        </w:tc>
        <w:tc>
          <w:tcPr>
            <w:tcW w:w="5257"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szCs w:val="21"/>
                <w:lang w:val="en-US" w:eastAsia="zh-CN"/>
              </w:rPr>
              <w:t>各地级以上市监督机构系统管理员登陆国家卫生计生监督平台接受任务清单，每个企业抽查 1-3 个产品</w:t>
            </w:r>
          </w:p>
        </w:tc>
        <w:tc>
          <w:tcPr>
            <w:tcW w:w="2551"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1.标签、说明书</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2.产品卫生许可批件</w:t>
            </w:r>
          </w:p>
        </w:tc>
        <w:tc>
          <w:tcPr>
            <w:tcW w:w="2836"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产品卫生安全性检测</w:t>
            </w:r>
          </w:p>
        </w:tc>
        <w:tc>
          <w:tcPr>
            <w:tcW w:w="2180"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各地采样后送省卫生监督所，由省卫生监督所统一送检，检测工作由省疾控中心负责。</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63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水处理材料</w:t>
            </w:r>
          </w:p>
        </w:tc>
        <w:tc>
          <w:tcPr>
            <w:tcW w:w="5257"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c>
          <w:tcPr>
            <w:tcW w:w="2551"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c>
          <w:tcPr>
            <w:tcW w:w="2836"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c>
          <w:tcPr>
            <w:tcW w:w="21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3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化学处理剂</w:t>
            </w:r>
          </w:p>
        </w:tc>
        <w:tc>
          <w:tcPr>
            <w:tcW w:w="5257"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c>
          <w:tcPr>
            <w:tcW w:w="2551"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c>
          <w:tcPr>
            <w:tcW w:w="2836"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c>
          <w:tcPr>
            <w:tcW w:w="21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1639"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水质处理器</w:t>
            </w:r>
          </w:p>
        </w:tc>
        <w:tc>
          <w:tcPr>
            <w:tcW w:w="5257"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各地级以上市监督机构系统管理员登陆国家卫生计生监督平台接受任务清单，每个企业抽查 1-2 个产品</w:t>
            </w:r>
          </w:p>
        </w:tc>
        <w:tc>
          <w:tcPr>
            <w:tcW w:w="2551"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1.标签、说明书</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2.产品卫生许可批件</w:t>
            </w:r>
          </w:p>
        </w:tc>
        <w:tc>
          <w:tcPr>
            <w:tcW w:w="2836"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c>
          <w:tcPr>
            <w:tcW w:w="2180"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jc w:val="center"/>
        </w:trPr>
        <w:tc>
          <w:tcPr>
            <w:tcW w:w="1639"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Cs w:val="21"/>
              </w:rPr>
            </w:pPr>
          </w:p>
        </w:tc>
        <w:tc>
          <w:tcPr>
            <w:tcW w:w="5257"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广州、深圳、佛山、中山各抽取</w:t>
            </w:r>
            <w:r>
              <w:rPr>
                <w:rFonts w:hint="default" w:ascii="Times New Roman" w:hAnsi="Times New Roman" w:eastAsia="仿宋_GB2312" w:cs="Times New Roman"/>
                <w:color w:val="000000"/>
                <w:szCs w:val="21"/>
              </w:rPr>
              <w:t>辖区内</w:t>
            </w: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个实体经营单位</w:t>
            </w:r>
            <w:r>
              <w:rPr>
                <w:rFonts w:hint="default" w:ascii="Times New Roman" w:hAnsi="Times New Roman" w:eastAsia="仿宋_GB2312" w:cs="Times New Roman"/>
                <w:color w:val="000000"/>
                <w:szCs w:val="21"/>
                <w:vertAlign w:val="superscript"/>
              </w:rPr>
              <w:t>(b)</w:t>
            </w:r>
            <w:r>
              <w:rPr>
                <w:rFonts w:hint="default" w:ascii="Times New Roman" w:hAnsi="Times New Roman" w:eastAsia="仿宋_GB2312" w:cs="Times New Roman"/>
                <w:color w:val="000000"/>
                <w:kern w:val="0"/>
                <w:szCs w:val="21"/>
              </w:rPr>
              <w:t>，含</w:t>
            </w:r>
            <w:r>
              <w:rPr>
                <w:rFonts w:hint="default" w:ascii="Times New Roman" w:hAnsi="Times New Roman" w:eastAsia="仿宋_GB2312" w:cs="Times New Roman"/>
                <w:color w:val="000000"/>
                <w:kern w:val="0"/>
                <w:szCs w:val="21"/>
                <w:lang w:val="en-US" w:eastAsia="zh-CN"/>
              </w:rPr>
              <w:t>3</w:t>
            </w:r>
            <w:r>
              <w:rPr>
                <w:rFonts w:hint="default" w:ascii="Times New Roman" w:hAnsi="Times New Roman" w:eastAsia="仿宋_GB2312" w:cs="Times New Roman"/>
                <w:color w:val="000000"/>
                <w:kern w:val="0"/>
                <w:szCs w:val="21"/>
              </w:rPr>
              <w:t>个城市商场、超市或专营商店、</w:t>
            </w:r>
            <w:r>
              <w:rPr>
                <w:rFonts w:hint="default" w:ascii="Times New Roman" w:hAnsi="Times New Roman" w:eastAsia="仿宋_GB2312" w:cs="Times New Roman"/>
                <w:color w:val="000000"/>
                <w:kern w:val="0"/>
                <w:szCs w:val="21"/>
                <w:lang w:val="en-US" w:eastAsia="zh-CN"/>
              </w:rPr>
              <w:t>2</w:t>
            </w:r>
            <w:r>
              <w:rPr>
                <w:rFonts w:hint="default" w:ascii="Times New Roman" w:hAnsi="Times New Roman" w:eastAsia="仿宋_GB2312" w:cs="Times New Roman"/>
                <w:color w:val="000000"/>
                <w:kern w:val="0"/>
                <w:szCs w:val="21"/>
              </w:rPr>
              <w:t>个乡镇综合或专营市场，不足的全部抽查。</w:t>
            </w:r>
          </w:p>
        </w:tc>
        <w:tc>
          <w:tcPr>
            <w:tcW w:w="2551"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1.标签、说明书</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2.产品卫生许可批件</w:t>
            </w:r>
          </w:p>
        </w:tc>
        <w:tc>
          <w:tcPr>
            <w:tcW w:w="2836" w:type="dxa"/>
            <w:vMerge w:val="restart"/>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1639"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Cs w:val="21"/>
              </w:rPr>
            </w:pPr>
          </w:p>
        </w:tc>
        <w:tc>
          <w:tcPr>
            <w:tcW w:w="5257"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eastAsia="zh-CN"/>
              </w:rPr>
              <w:t>惠州、珠海、江门、肇庆各抽取</w:t>
            </w:r>
            <w:r>
              <w:rPr>
                <w:rFonts w:hint="default" w:ascii="Times New Roman" w:hAnsi="Times New Roman" w:eastAsia="仿宋_GB2312" w:cs="Times New Roman"/>
                <w:color w:val="000000"/>
                <w:szCs w:val="21"/>
              </w:rPr>
              <w:t>辖区内</w:t>
            </w:r>
            <w:r>
              <w:rPr>
                <w:rFonts w:hint="default" w:ascii="Times New Roman" w:hAnsi="Times New Roman" w:eastAsia="仿宋_GB2312" w:cs="Times New Roman"/>
                <w:color w:val="000000"/>
                <w:szCs w:val="21"/>
                <w:lang w:val="en-US" w:eastAsia="zh-CN"/>
              </w:rPr>
              <w:t>2</w:t>
            </w:r>
            <w:r>
              <w:rPr>
                <w:rFonts w:hint="default" w:ascii="Times New Roman" w:hAnsi="Times New Roman" w:eastAsia="仿宋_GB2312" w:cs="Times New Roman"/>
                <w:color w:val="000000"/>
                <w:szCs w:val="21"/>
              </w:rPr>
              <w:t>0个在主要网络平台从事经销活动的网店，不足的全部抽查，检查网店所有产品。</w:t>
            </w:r>
          </w:p>
        </w:tc>
        <w:tc>
          <w:tcPr>
            <w:tcW w:w="2551"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产品卫生许可批件</w:t>
            </w:r>
          </w:p>
        </w:tc>
        <w:tc>
          <w:tcPr>
            <w:tcW w:w="2836" w:type="dxa"/>
            <w:vMerge w:val="continue"/>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163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进口涉水产品</w:t>
            </w:r>
          </w:p>
        </w:tc>
        <w:tc>
          <w:tcPr>
            <w:tcW w:w="5257"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color w:val="000000"/>
                <w:szCs w:val="21"/>
              </w:rPr>
            </w:pPr>
            <w:r>
              <w:rPr>
                <w:rFonts w:hint="default" w:ascii="Times New Roman" w:hAnsi="Times New Roman" w:eastAsia="仿宋_GB2312" w:cs="Times New Roman"/>
                <w:color w:val="000000"/>
                <w:szCs w:val="21"/>
                <w:lang w:eastAsia="zh-CN"/>
              </w:rPr>
              <w:t>广州、深圳各抽取</w:t>
            </w:r>
            <w:r>
              <w:rPr>
                <w:rFonts w:hint="default" w:ascii="Times New Roman" w:hAnsi="Times New Roman" w:eastAsia="仿宋_GB2312" w:cs="Times New Roman"/>
                <w:color w:val="000000"/>
                <w:szCs w:val="21"/>
              </w:rPr>
              <w:t>辖区内</w:t>
            </w:r>
            <w:r>
              <w:rPr>
                <w:rFonts w:hint="default" w:ascii="Times New Roman" w:hAnsi="Times New Roman" w:eastAsia="仿宋_GB2312" w:cs="Times New Roman"/>
                <w:color w:val="000000"/>
                <w:szCs w:val="21"/>
                <w:lang w:val="en-US" w:eastAsia="zh-CN"/>
              </w:rPr>
              <w:t>5</w:t>
            </w:r>
            <w:r>
              <w:rPr>
                <w:rFonts w:hint="default" w:ascii="Times New Roman" w:hAnsi="Times New Roman" w:eastAsia="仿宋_GB2312" w:cs="Times New Roman"/>
                <w:color w:val="000000"/>
                <w:szCs w:val="21"/>
              </w:rPr>
              <w:t>个在华责任单位</w:t>
            </w:r>
            <w:r>
              <w:rPr>
                <w:rFonts w:hint="default" w:ascii="Times New Roman" w:hAnsi="Times New Roman" w:eastAsia="仿宋_GB2312" w:cs="Times New Roman"/>
                <w:color w:val="000000"/>
                <w:kern w:val="0"/>
                <w:szCs w:val="21"/>
              </w:rPr>
              <w:t>，不足的全部抽查，</w:t>
            </w:r>
            <w:r>
              <w:rPr>
                <w:rFonts w:hint="default" w:ascii="Times New Roman" w:hAnsi="Times New Roman" w:eastAsia="仿宋_GB2312" w:cs="Times New Roman"/>
                <w:color w:val="000000"/>
                <w:szCs w:val="21"/>
              </w:rPr>
              <w:t>每个单位抽查1-3种产品</w:t>
            </w:r>
          </w:p>
        </w:tc>
        <w:tc>
          <w:tcPr>
            <w:tcW w:w="2551"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1.标签、说明书</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2.产品卫生许可批件</w:t>
            </w:r>
          </w:p>
        </w:tc>
        <w:tc>
          <w:tcPr>
            <w:tcW w:w="2836"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产品卫生安全性检测</w:t>
            </w:r>
          </w:p>
        </w:tc>
        <w:tc>
          <w:tcPr>
            <w:tcW w:w="218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lang w:val="en-US" w:eastAsia="zh-CN"/>
              </w:rPr>
              <w:t>采样后送省卫生监督所，由省卫生监督所统一送检，检测工作由省疾控中心负责。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1639" w:type="dxa"/>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现制现售饮用水自动售水机</w:t>
            </w:r>
          </w:p>
        </w:tc>
        <w:tc>
          <w:tcPr>
            <w:tcW w:w="5257"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szCs w:val="21"/>
                <w:lang w:eastAsia="zh-CN"/>
              </w:rPr>
              <w:t>汕头、揭阳、湛江、茂名各抽取</w:t>
            </w:r>
            <w:r>
              <w:rPr>
                <w:rFonts w:hint="default" w:ascii="Times New Roman" w:hAnsi="Times New Roman" w:eastAsia="仿宋_GB2312" w:cs="Times New Roman"/>
                <w:color w:val="000000"/>
                <w:szCs w:val="21"/>
              </w:rPr>
              <w:t>辖区内5个经营单位，不足的全部抽查，每个单位抽查1-3个应用现场。</w:t>
            </w:r>
          </w:p>
        </w:tc>
        <w:tc>
          <w:tcPr>
            <w:tcW w:w="2551"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产品卫生许可批件</w:t>
            </w:r>
          </w:p>
        </w:tc>
        <w:tc>
          <w:tcPr>
            <w:tcW w:w="2836" w:type="dxa"/>
            <w:noWrap w:val="0"/>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出水水质</w:t>
            </w:r>
            <w:r>
              <w:rPr>
                <w:rFonts w:hint="default" w:ascii="Times New Roman" w:hAnsi="Times New Roman" w:eastAsia="仿宋_GB2312" w:cs="Times New Roman"/>
                <w:color w:val="000000"/>
                <w:kern w:val="0"/>
                <w:szCs w:val="21"/>
              </w:rPr>
              <w:t>菌落总数、总大肠菌群、色度、浑浊度、臭和味、肉眼可见物、pH、耗氧量等</w:t>
            </w:r>
          </w:p>
        </w:tc>
        <w:tc>
          <w:tcPr>
            <w:tcW w:w="21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szCs w:val="21"/>
                <w:lang w:val="en-US" w:eastAsia="zh-CN"/>
              </w:rPr>
            </w:pPr>
            <w:r>
              <w:rPr>
                <w:rFonts w:hint="default" w:ascii="Times New Roman" w:hAnsi="Times New Roman" w:eastAsia="仿宋_GB2312" w:cs="Times New Roman"/>
                <w:color w:val="000000"/>
                <w:szCs w:val="21"/>
                <w:lang w:val="en-US" w:eastAsia="zh-CN"/>
              </w:rPr>
              <w:t>产品检测由属地进行。</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a.无负压供水设备、饮用水消毒设备、大型水质处理器产品卫生安全性检测合理缺项。</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华文仿宋" w:cs="Times New Roman"/>
          <w:color w:val="000000"/>
          <w:sz w:val="24"/>
          <w:szCs w:val="24"/>
        </w:rPr>
      </w:pPr>
      <w:r>
        <w:rPr>
          <w:rFonts w:hint="default" w:ascii="Times New Roman" w:hAnsi="Times New Roman" w:eastAsia="仿宋_GB2312" w:cs="Times New Roman"/>
          <w:color w:val="000000"/>
          <w:sz w:val="24"/>
          <w:szCs w:val="24"/>
        </w:rPr>
        <w:t xml:space="preserve">    b.各地在综合卫生监督档案及相关调查资料等信息基础上确定单位底数并制定双随机抽查清单。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0"/>
          <w:szCs w:val="30"/>
        </w:rPr>
      </w:pPr>
      <w:r>
        <w:rPr>
          <w:rFonts w:hint="default" w:ascii="Times New Roman" w:hAnsi="Times New Roman" w:eastAsia="华文仿宋" w:cs="Times New Roman"/>
          <w:color w:val="000000"/>
          <w:kern w:val="0"/>
          <w:szCs w:val="21"/>
        </w:rPr>
        <w:br w:type="page"/>
      </w:r>
      <w:r>
        <w:rPr>
          <w:rFonts w:hint="default" w:ascii="Times New Roman" w:hAnsi="Times New Roman" w:eastAsia="黑体" w:cs="Times New Roman"/>
          <w:color w:val="000000"/>
          <w:sz w:val="32"/>
          <w:szCs w:val="32"/>
        </w:rPr>
        <w:t>附表5</w:t>
      </w:r>
    </w:p>
    <w:p>
      <w:pPr>
        <w:keepNext w:val="0"/>
        <w:keepLines w:val="0"/>
        <w:pageBreakBefore w:val="0"/>
        <w:widowControl w:val="0"/>
        <w:kinsoku/>
        <w:wordWrap/>
        <w:overflowPunct/>
        <w:topLinePunct w:val="0"/>
        <w:autoSpaceDE/>
        <w:autoSpaceDN/>
        <w:bidi w:val="0"/>
        <w:adjustRightInd/>
        <w:snapToGrid/>
        <w:spacing w:before="63" w:beforeLines="20" w:after="251"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2020年餐具饮具集中消毒服务单位国家随机监督抽查工作计划表</w:t>
      </w:r>
    </w:p>
    <w:tbl>
      <w:tblPr>
        <w:tblStyle w:val="3"/>
        <w:tblW w:w="13961" w:type="dxa"/>
        <w:jc w:val="center"/>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77"/>
        <w:gridCol w:w="5215"/>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7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监督检查对象</w:t>
            </w:r>
          </w:p>
        </w:tc>
        <w:tc>
          <w:tcPr>
            <w:tcW w:w="3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范围和数量</w:t>
            </w:r>
          </w:p>
        </w:tc>
        <w:tc>
          <w:tcPr>
            <w:tcW w:w="5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检查内容</w:t>
            </w:r>
          </w:p>
        </w:tc>
        <w:tc>
          <w:tcPr>
            <w:tcW w:w="33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5" w:hRule="atLeast"/>
          <w:jc w:val="center"/>
        </w:trPr>
        <w:tc>
          <w:tcPr>
            <w:tcW w:w="17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餐具饮具集中消毒服务单位</w:t>
            </w:r>
          </w:p>
        </w:tc>
        <w:tc>
          <w:tcPr>
            <w:tcW w:w="3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辖区全部生产企业</w:t>
            </w:r>
          </w:p>
        </w:tc>
        <w:tc>
          <w:tcPr>
            <w:tcW w:w="5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1.用水符合国家饮用水卫生标准情况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2.使用的洗涤剂、消毒剂符合国家食品安全标准情况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3.消毒后的餐饮具进行逐批检验情况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4.建立并遵守餐饮具出厂检验记录制度情况</w:t>
            </w:r>
          </w:p>
        </w:tc>
        <w:tc>
          <w:tcPr>
            <w:tcW w:w="33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17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出厂餐饮具</w:t>
            </w:r>
          </w:p>
        </w:tc>
        <w:tc>
          <w:tcPr>
            <w:tcW w:w="35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每个企业抽查1-2个批次出厂餐饮具</w:t>
            </w:r>
          </w:p>
        </w:tc>
        <w:tc>
          <w:tcPr>
            <w:tcW w:w="5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1.出厂餐饮具随附消毒合格证明情况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2.出厂餐饮具按规定在独立包装上标注相关内容情况</w:t>
            </w:r>
          </w:p>
        </w:tc>
        <w:tc>
          <w:tcPr>
            <w:tcW w:w="33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感官要求，游离性余氯、阴离子合成洗涤剂</w:t>
            </w:r>
            <w:r>
              <w:rPr>
                <w:rFonts w:hint="default" w:ascii="Times New Roman" w:hAnsi="Times New Roman" w:eastAsia="仿宋_GB2312" w:cs="Times New Roman"/>
                <w:color w:val="000000"/>
                <w:kern w:val="0"/>
                <w:szCs w:val="21"/>
                <w:vertAlign w:val="superscript"/>
                <w:lang w:eastAsia="zh-CN"/>
              </w:rPr>
              <w:t>（</w:t>
            </w:r>
            <w:r>
              <w:rPr>
                <w:rFonts w:hint="default" w:ascii="Times New Roman" w:hAnsi="Times New Roman" w:eastAsia="仿宋_GB2312" w:cs="Times New Roman"/>
                <w:color w:val="000000"/>
                <w:kern w:val="0"/>
                <w:szCs w:val="21"/>
                <w:vertAlign w:val="superscript"/>
              </w:rPr>
              <w:t>a</w:t>
            </w:r>
            <w:r>
              <w:rPr>
                <w:rFonts w:hint="default" w:ascii="Times New Roman" w:hAnsi="Times New Roman" w:eastAsia="仿宋_GB2312" w:cs="Times New Roman"/>
                <w:color w:val="000000"/>
                <w:kern w:val="0"/>
                <w:szCs w:val="21"/>
                <w:vertAlign w:val="superscript"/>
                <w:lang w:eastAsia="zh-CN"/>
              </w:rPr>
              <w:t>）</w:t>
            </w:r>
            <w:r>
              <w:rPr>
                <w:rFonts w:hint="default" w:ascii="Times New Roman" w:hAnsi="Times New Roman" w:eastAsia="仿宋_GB2312" w:cs="Times New Roman"/>
                <w:color w:val="000000"/>
                <w:kern w:val="0"/>
                <w:szCs w:val="21"/>
              </w:rPr>
              <w:t>，大肠菌群、沙门氏菌</w:t>
            </w: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jc w:val="left"/>
        <w:textAlignment w:val="auto"/>
        <w:rPr>
          <w:rFonts w:hint="default" w:ascii="Times New Roman" w:hAnsi="Times New Roman" w:eastAsia="华文仿宋" w:cs="Times New Roman"/>
          <w:color w:val="000000"/>
          <w:sz w:val="20"/>
          <w:szCs w:val="20"/>
        </w:rPr>
      </w:pPr>
      <w:r>
        <w:rPr>
          <w:rFonts w:hint="default" w:ascii="Times New Roman" w:hAnsi="Times New Roman" w:eastAsia="仿宋_GB2312" w:cs="Times New Roman"/>
          <w:color w:val="000000"/>
          <w:sz w:val="20"/>
          <w:szCs w:val="20"/>
        </w:rPr>
        <w:t xml:space="preserve"> </w:t>
      </w:r>
      <w:r>
        <w:rPr>
          <w:rFonts w:hint="default" w:ascii="Times New Roman" w:hAnsi="Times New Roman" w:eastAsia="仿宋_GB2312" w:cs="Times New Roman"/>
          <w:color w:val="000000"/>
          <w:sz w:val="24"/>
          <w:szCs w:val="24"/>
        </w:rPr>
        <w:t xml:space="preserve">   a.仅适用于化学消毒法。使用其他消毒方式的，游离性余氯、阴离子合成洗涤剂两项指标合理缺项。</w:t>
      </w:r>
    </w:p>
    <w:p>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rPr>
        <w:br w:type="page"/>
      </w:r>
      <w:r>
        <w:rPr>
          <w:rFonts w:hint="default" w:ascii="Times New Roman" w:hAnsi="Times New Roman" w:eastAsia="黑体" w:cs="Times New Roman"/>
          <w:color w:val="000000"/>
          <w:sz w:val="32"/>
          <w:szCs w:val="32"/>
        </w:rPr>
        <w:t>附表6</w:t>
      </w:r>
    </w:p>
    <w:p>
      <w:pPr>
        <w:keepNext w:val="0"/>
        <w:keepLines w:val="0"/>
        <w:pageBreakBefore w:val="0"/>
        <w:widowControl w:val="0"/>
        <w:kinsoku/>
        <w:wordWrap/>
        <w:overflowPunct/>
        <w:topLinePunct w:val="0"/>
        <w:autoSpaceDE/>
        <w:autoSpaceDN/>
        <w:bidi w:val="0"/>
        <w:adjustRightInd/>
        <w:snapToGrid/>
        <w:spacing w:before="63" w:beforeLines="20" w:after="251" w:afterLines="80" w:line="700" w:lineRule="exact"/>
        <w:jc w:val="center"/>
        <w:textAlignment w:val="auto"/>
        <w:rPr>
          <w:rFonts w:hint="default" w:ascii="Times New Roman" w:hAnsi="Times New Roman" w:eastAsia="方正小标宋简体" w:cs="Times New Roman"/>
          <w:b w:val="0"/>
          <w:bCs/>
          <w:color w:val="000000"/>
          <w:szCs w:val="21"/>
        </w:rPr>
      </w:pPr>
      <w:r>
        <w:rPr>
          <w:rFonts w:hint="default" w:ascii="Times New Roman" w:hAnsi="Times New Roman" w:eastAsia="方正小标宋简体" w:cs="Times New Roman"/>
          <w:b w:val="0"/>
          <w:bCs/>
          <w:color w:val="000000"/>
          <w:sz w:val="44"/>
          <w:szCs w:val="44"/>
        </w:rPr>
        <w:t>2020年学校卫生综合监督评价及监督协管服务信息汇总表</w:t>
      </w:r>
    </w:p>
    <w:tbl>
      <w:tblPr>
        <w:tblStyle w:val="3"/>
        <w:tblW w:w="139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077"/>
        <w:gridCol w:w="2827"/>
        <w:gridCol w:w="1776"/>
        <w:gridCol w:w="1776"/>
        <w:gridCol w:w="17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辖区中小学校总数</w:t>
            </w:r>
          </w:p>
        </w:tc>
        <w:tc>
          <w:tcPr>
            <w:tcW w:w="20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纳入卫生监督协管服务学校数</w:t>
            </w:r>
          </w:p>
        </w:tc>
        <w:tc>
          <w:tcPr>
            <w:tcW w:w="282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lang w:eastAsia="zh-CN"/>
              </w:rPr>
            </w:pPr>
            <w:r>
              <w:rPr>
                <w:rFonts w:hint="eastAsia" w:ascii="黑体" w:hAnsi="黑体" w:eastAsia="黑体" w:cs="黑体"/>
                <w:color w:val="000000"/>
                <w:szCs w:val="21"/>
              </w:rPr>
              <w:t>2014年以来已开展过学校卫生综合评价的中小学校数</w:t>
            </w:r>
            <w:r>
              <w:rPr>
                <w:rFonts w:hint="eastAsia" w:ascii="黑体" w:hAnsi="黑体" w:eastAsia="黑体" w:cs="黑体"/>
                <w:color w:val="000000"/>
                <w:szCs w:val="21"/>
                <w:vertAlign w:val="superscript"/>
                <w:lang w:eastAsia="zh-CN"/>
              </w:rPr>
              <w:t>（</w:t>
            </w:r>
            <w:r>
              <w:rPr>
                <w:rFonts w:hint="eastAsia" w:ascii="黑体" w:hAnsi="黑体" w:eastAsia="黑体" w:cs="黑体"/>
                <w:color w:val="000000"/>
                <w:szCs w:val="21"/>
                <w:vertAlign w:val="superscript"/>
              </w:rPr>
              <w:t>a</w:t>
            </w:r>
            <w:r>
              <w:rPr>
                <w:rFonts w:hint="eastAsia" w:ascii="黑体" w:hAnsi="黑体" w:eastAsia="黑体" w:cs="黑体"/>
                <w:color w:val="000000"/>
                <w:szCs w:val="21"/>
                <w:vertAlign w:val="superscript"/>
                <w:lang w:eastAsia="zh-CN"/>
              </w:rPr>
              <w:t>）</w:t>
            </w:r>
          </w:p>
        </w:tc>
        <w:tc>
          <w:tcPr>
            <w:tcW w:w="71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lang w:eastAsia="zh-CN"/>
              </w:rPr>
            </w:pPr>
            <w:r>
              <w:rPr>
                <w:rFonts w:hint="eastAsia" w:ascii="黑体" w:hAnsi="黑体" w:eastAsia="黑体" w:cs="黑体"/>
                <w:color w:val="000000"/>
                <w:szCs w:val="21"/>
              </w:rPr>
              <w:t>综合评价结果</w:t>
            </w:r>
            <w:r>
              <w:rPr>
                <w:rFonts w:hint="eastAsia" w:ascii="黑体" w:hAnsi="黑体" w:eastAsia="黑体" w:cs="黑体"/>
                <w:color w:val="000000"/>
                <w:szCs w:val="21"/>
                <w:vertAlign w:val="superscript"/>
                <w:lang w:eastAsia="zh-CN"/>
              </w:rPr>
              <w:t>（</w:t>
            </w:r>
            <w:r>
              <w:rPr>
                <w:rFonts w:hint="eastAsia" w:ascii="黑体" w:hAnsi="黑体" w:eastAsia="黑体" w:cs="黑体"/>
                <w:color w:val="000000"/>
                <w:szCs w:val="21"/>
                <w:vertAlign w:val="superscript"/>
              </w:rPr>
              <w:t>b</w:t>
            </w:r>
            <w:r>
              <w:rPr>
                <w:rFonts w:hint="eastAsia" w:ascii="黑体" w:hAnsi="黑体" w:eastAsia="黑体" w:cs="黑体"/>
                <w:color w:val="000000"/>
                <w:szCs w:val="21"/>
                <w:vertAlign w:val="superscript"/>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9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p>
        </w:tc>
        <w:tc>
          <w:tcPr>
            <w:tcW w:w="207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p>
        </w:tc>
        <w:tc>
          <w:tcPr>
            <w:tcW w:w="282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p>
        </w:tc>
        <w:tc>
          <w:tcPr>
            <w:tcW w:w="1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评价学校数</w:t>
            </w:r>
          </w:p>
        </w:tc>
        <w:tc>
          <w:tcPr>
            <w:tcW w:w="1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优秀学校数</w:t>
            </w:r>
          </w:p>
        </w:tc>
        <w:tc>
          <w:tcPr>
            <w:tcW w:w="1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合格学校数</w:t>
            </w:r>
          </w:p>
        </w:tc>
        <w:tc>
          <w:tcPr>
            <w:tcW w:w="1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不合格学校数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1937" w:type="dxa"/>
            <w:noWrap w:val="0"/>
            <w:vAlign w:val="center"/>
          </w:tcPr>
          <w:p>
            <w:pPr>
              <w:spacing w:line="240" w:lineRule="exact"/>
              <w:jc w:val="center"/>
              <w:rPr>
                <w:rFonts w:hint="default" w:ascii="Times New Roman" w:hAnsi="Times New Roman" w:eastAsia="华文仿宋" w:cs="Times New Roman"/>
                <w:color w:val="000000"/>
                <w:szCs w:val="21"/>
              </w:rPr>
            </w:pPr>
          </w:p>
        </w:tc>
        <w:tc>
          <w:tcPr>
            <w:tcW w:w="2077" w:type="dxa"/>
            <w:noWrap w:val="0"/>
            <w:vAlign w:val="center"/>
          </w:tcPr>
          <w:p>
            <w:pPr>
              <w:spacing w:line="240" w:lineRule="exact"/>
              <w:jc w:val="center"/>
              <w:rPr>
                <w:rFonts w:hint="default" w:ascii="Times New Roman" w:hAnsi="Times New Roman" w:eastAsia="华文仿宋" w:cs="Times New Roman"/>
                <w:color w:val="000000"/>
                <w:szCs w:val="21"/>
              </w:rPr>
            </w:pPr>
          </w:p>
        </w:tc>
        <w:tc>
          <w:tcPr>
            <w:tcW w:w="2827" w:type="dxa"/>
            <w:noWrap w:val="0"/>
            <w:vAlign w:val="center"/>
          </w:tcPr>
          <w:p>
            <w:pPr>
              <w:spacing w:line="240" w:lineRule="exact"/>
              <w:jc w:val="center"/>
              <w:rPr>
                <w:rFonts w:hint="default" w:ascii="Times New Roman" w:hAnsi="Times New Roman" w:eastAsia="华文仿宋" w:cs="Times New Roman"/>
                <w:color w:val="000000"/>
                <w:szCs w:val="21"/>
              </w:rPr>
            </w:pPr>
          </w:p>
        </w:tc>
        <w:tc>
          <w:tcPr>
            <w:tcW w:w="1776" w:type="dxa"/>
            <w:noWrap w:val="0"/>
            <w:vAlign w:val="center"/>
          </w:tcPr>
          <w:p>
            <w:pPr>
              <w:spacing w:line="240" w:lineRule="exact"/>
              <w:jc w:val="center"/>
              <w:rPr>
                <w:rFonts w:hint="default" w:ascii="Times New Roman" w:hAnsi="Times New Roman" w:eastAsia="华文仿宋" w:cs="Times New Roman"/>
                <w:color w:val="000000"/>
                <w:szCs w:val="21"/>
              </w:rPr>
            </w:pPr>
          </w:p>
        </w:tc>
        <w:tc>
          <w:tcPr>
            <w:tcW w:w="1776" w:type="dxa"/>
            <w:noWrap w:val="0"/>
            <w:vAlign w:val="center"/>
          </w:tcPr>
          <w:p>
            <w:pPr>
              <w:spacing w:line="240" w:lineRule="exact"/>
              <w:jc w:val="center"/>
              <w:rPr>
                <w:rFonts w:hint="default" w:ascii="Times New Roman" w:hAnsi="Times New Roman" w:eastAsia="华文仿宋" w:cs="Times New Roman"/>
                <w:color w:val="000000"/>
                <w:szCs w:val="21"/>
              </w:rPr>
            </w:pPr>
          </w:p>
        </w:tc>
        <w:tc>
          <w:tcPr>
            <w:tcW w:w="1776" w:type="dxa"/>
            <w:noWrap w:val="0"/>
            <w:vAlign w:val="center"/>
          </w:tcPr>
          <w:p>
            <w:pPr>
              <w:spacing w:line="240" w:lineRule="exact"/>
              <w:jc w:val="center"/>
              <w:rPr>
                <w:rFonts w:hint="default" w:ascii="Times New Roman" w:hAnsi="Times New Roman" w:eastAsia="华文仿宋" w:cs="Times New Roman"/>
                <w:color w:val="000000"/>
                <w:szCs w:val="21"/>
              </w:rPr>
            </w:pPr>
          </w:p>
        </w:tc>
        <w:tc>
          <w:tcPr>
            <w:tcW w:w="1776" w:type="dxa"/>
            <w:noWrap w:val="0"/>
            <w:vAlign w:val="center"/>
          </w:tcPr>
          <w:p>
            <w:pPr>
              <w:spacing w:line="240" w:lineRule="exact"/>
              <w:jc w:val="center"/>
              <w:rPr>
                <w:rFonts w:hint="default" w:ascii="Times New Roman" w:hAnsi="Times New Roman" w:eastAsia="华文仿宋" w:cs="Times New Roman"/>
                <w:color w:val="000000"/>
                <w:szCs w:val="21"/>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156" w:beforeLines="50" w:line="360" w:lineRule="exact"/>
        <w:ind w:left="420" w:leftChars="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a.指2014年以来本辖区开展过学校卫生综合评价的学校总数，开展过多次评价的学校不重复计入。</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420" w:left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b.指2020年度对未开展过评价的学校首次开展的综合评价，2014-2019年已开展过的不再计入。</w:t>
      </w:r>
    </w:p>
    <w:p>
      <w:pPr>
        <w:snapToGrid w:val="0"/>
        <w:spacing w:before="156" w:beforeLines="50" w:after="156" w:afterLines="50"/>
        <w:rPr>
          <w:rFonts w:hint="default" w:ascii="Times New Roman" w:hAnsi="Times New Roman" w:eastAsia="黑体" w:cs="Times New Roman"/>
          <w:color w:val="000000"/>
          <w:sz w:val="30"/>
          <w:szCs w:val="30"/>
        </w:rPr>
      </w:pPr>
    </w:p>
    <w:p>
      <w:pPr>
        <w:snapToGrid w:val="0"/>
        <w:spacing w:before="156" w:beforeLines="50" w:after="156" w:afterLines="50"/>
        <w:rPr>
          <w:rFonts w:hint="default" w:ascii="Times New Roman" w:hAnsi="Times New Roman" w:eastAsia="黑体" w:cs="Times New Roman"/>
          <w:color w:val="000000"/>
          <w:sz w:val="30"/>
          <w:szCs w:val="30"/>
        </w:rPr>
        <w:sectPr>
          <w:pgSz w:w="16838" w:h="11906" w:orient="landscape"/>
          <w:pgMar w:top="1531" w:right="1440" w:bottom="1531" w:left="1440" w:header="851" w:footer="992" w:gutter="0"/>
          <w:pgBorders>
            <w:top w:val="none" w:sz="0" w:space="0"/>
            <w:left w:val="none" w:sz="0" w:space="0"/>
            <w:bottom w:val="none" w:sz="0" w:space="0"/>
            <w:right w:val="none" w:sz="0" w:space="0"/>
          </w:pgBorders>
          <w:pgNumType w:fmt="numberInDash"/>
          <w:cols w:space="720" w:num="1"/>
          <w:rtlGutter w:val="0"/>
          <w:docGrid w:type="linesAndChars" w:linePitch="442" w:charSpace="0"/>
        </w:sect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2"/>
          <w:szCs w:val="32"/>
        </w:rPr>
        <w:t>附表7</w:t>
      </w:r>
      <w:r>
        <w:rPr>
          <w:rFonts w:hint="default" w:ascii="Times New Roman" w:hAnsi="Times New Roman" w:eastAsia="黑体" w:cs="Times New Roman"/>
          <w:color w:val="000000"/>
          <w:sz w:val="30"/>
          <w:szCs w:val="30"/>
        </w:rPr>
        <w:t xml:space="preserve">                </w:t>
      </w:r>
    </w:p>
    <w:p>
      <w:pPr>
        <w:keepNext w:val="0"/>
        <w:keepLines w:val="0"/>
        <w:pageBreakBefore w:val="0"/>
        <w:widowControl w:val="0"/>
        <w:kinsoku/>
        <w:wordWrap/>
        <w:overflowPunct/>
        <w:topLinePunct w:val="0"/>
        <w:autoSpaceDE/>
        <w:autoSpaceDN/>
        <w:bidi w:val="0"/>
        <w:adjustRightInd/>
        <w:snapToGrid w:val="0"/>
        <w:spacing w:before="95" w:beforeLines="30" w:after="251"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2020年小型集中式供水卫生安全巡查覆盖乡镇情况汇总表</w:t>
      </w:r>
    </w:p>
    <w:tbl>
      <w:tblPr>
        <w:tblStyle w:val="3"/>
        <w:tblW w:w="13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jc w:val="center"/>
        </w:trPr>
        <w:tc>
          <w:tcPr>
            <w:tcW w:w="136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在用小型集中式供水的乡镇总数</w:t>
            </w:r>
          </w:p>
        </w:tc>
        <w:tc>
          <w:tcPr>
            <w:tcW w:w="12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检查乡镇数</w:t>
            </w:r>
          </w:p>
        </w:tc>
        <w:tc>
          <w:tcPr>
            <w:tcW w:w="17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检查的乡镇中已开展卫生安全巡查的乡镇数</w:t>
            </w:r>
            <w:r>
              <w:rPr>
                <w:rFonts w:hint="eastAsia" w:ascii="黑体" w:hAnsi="黑体" w:eastAsia="黑体" w:cs="黑体"/>
                <w:color w:val="000000"/>
                <w:kern w:val="0"/>
                <w:szCs w:val="21"/>
                <w:vertAlign w:val="superscript"/>
              </w:rPr>
              <w:t>(a)</w:t>
            </w:r>
          </w:p>
        </w:tc>
        <w:tc>
          <w:tcPr>
            <w:tcW w:w="15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检查的乡镇中在用小型集中式供水水厂数</w:t>
            </w:r>
          </w:p>
        </w:tc>
        <w:tc>
          <w:tcPr>
            <w:tcW w:w="184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已建立基本情况档案的小型集中式供水水厂数</w:t>
            </w:r>
            <w:r>
              <w:rPr>
                <w:rFonts w:hint="eastAsia" w:ascii="黑体" w:hAnsi="黑体" w:eastAsia="黑体" w:cs="黑体"/>
                <w:color w:val="000000"/>
                <w:kern w:val="0"/>
                <w:szCs w:val="21"/>
                <w:vertAlign w:val="superscript"/>
              </w:rPr>
              <w:t>(b)</w:t>
            </w:r>
          </w:p>
        </w:tc>
        <w:tc>
          <w:tcPr>
            <w:tcW w:w="198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已建立卫生安全巡查档案的小型集中式供水水厂数</w:t>
            </w:r>
            <w:r>
              <w:rPr>
                <w:rFonts w:hint="eastAsia" w:ascii="黑体" w:hAnsi="黑体" w:eastAsia="黑体" w:cs="黑体"/>
                <w:color w:val="000000"/>
                <w:kern w:val="0"/>
                <w:szCs w:val="21"/>
                <w:vertAlign w:val="superscript"/>
              </w:rPr>
              <w:t>(b)</w:t>
            </w:r>
          </w:p>
        </w:tc>
        <w:tc>
          <w:tcPr>
            <w:tcW w:w="19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检查的小型集中式供水中持有卫生许可证的水厂数</w:t>
            </w:r>
          </w:p>
        </w:tc>
        <w:tc>
          <w:tcPr>
            <w:tcW w:w="10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案件数</w:t>
            </w:r>
          </w:p>
        </w:tc>
        <w:tc>
          <w:tcPr>
            <w:tcW w:w="11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1361" w:type="dxa"/>
            <w:noWrap w:val="0"/>
            <w:vAlign w:val="center"/>
          </w:tcPr>
          <w:p>
            <w:pPr>
              <w:widowControl/>
              <w:jc w:val="center"/>
              <w:rPr>
                <w:rFonts w:hint="default" w:ascii="Times New Roman" w:hAnsi="Times New Roman" w:eastAsia="华文仿宋" w:cs="Times New Roman"/>
                <w:color w:val="000000"/>
                <w:kern w:val="0"/>
                <w:szCs w:val="21"/>
              </w:rPr>
            </w:pPr>
          </w:p>
        </w:tc>
        <w:tc>
          <w:tcPr>
            <w:tcW w:w="1299" w:type="dxa"/>
            <w:noWrap w:val="0"/>
            <w:vAlign w:val="center"/>
          </w:tcPr>
          <w:p>
            <w:pPr>
              <w:widowControl/>
              <w:jc w:val="center"/>
              <w:rPr>
                <w:rFonts w:hint="default" w:ascii="Times New Roman" w:hAnsi="Times New Roman" w:eastAsia="华文仿宋" w:cs="Times New Roman"/>
                <w:color w:val="000000"/>
                <w:kern w:val="0"/>
                <w:szCs w:val="21"/>
              </w:rPr>
            </w:pPr>
          </w:p>
        </w:tc>
        <w:tc>
          <w:tcPr>
            <w:tcW w:w="1754" w:type="dxa"/>
            <w:noWrap w:val="0"/>
            <w:vAlign w:val="center"/>
          </w:tcPr>
          <w:p>
            <w:pPr>
              <w:widowControl/>
              <w:jc w:val="center"/>
              <w:rPr>
                <w:rFonts w:hint="default" w:ascii="Times New Roman" w:hAnsi="Times New Roman" w:eastAsia="华文仿宋" w:cs="Times New Roman"/>
                <w:color w:val="000000"/>
                <w:kern w:val="0"/>
                <w:szCs w:val="21"/>
              </w:rPr>
            </w:pPr>
          </w:p>
        </w:tc>
        <w:tc>
          <w:tcPr>
            <w:tcW w:w="1595" w:type="dxa"/>
            <w:noWrap w:val="0"/>
            <w:vAlign w:val="center"/>
          </w:tcPr>
          <w:p>
            <w:pPr>
              <w:widowControl/>
              <w:jc w:val="center"/>
              <w:rPr>
                <w:rFonts w:hint="default" w:ascii="Times New Roman" w:hAnsi="Times New Roman" w:eastAsia="华文仿宋" w:cs="Times New Roman"/>
                <w:color w:val="000000"/>
                <w:kern w:val="0"/>
                <w:szCs w:val="21"/>
              </w:rPr>
            </w:pPr>
          </w:p>
        </w:tc>
        <w:tc>
          <w:tcPr>
            <w:tcW w:w="1842" w:type="dxa"/>
            <w:noWrap w:val="0"/>
            <w:vAlign w:val="center"/>
          </w:tcPr>
          <w:p>
            <w:pPr>
              <w:widowControl/>
              <w:jc w:val="center"/>
              <w:rPr>
                <w:rFonts w:hint="default" w:ascii="Times New Roman" w:hAnsi="Times New Roman" w:eastAsia="华文仿宋" w:cs="Times New Roman"/>
                <w:color w:val="000000"/>
                <w:kern w:val="0"/>
                <w:szCs w:val="21"/>
              </w:rPr>
            </w:pPr>
          </w:p>
        </w:tc>
        <w:tc>
          <w:tcPr>
            <w:tcW w:w="1985" w:type="dxa"/>
            <w:noWrap w:val="0"/>
            <w:vAlign w:val="center"/>
          </w:tcPr>
          <w:p>
            <w:pPr>
              <w:widowControl/>
              <w:jc w:val="center"/>
              <w:rPr>
                <w:rFonts w:hint="default" w:ascii="Times New Roman" w:hAnsi="Times New Roman" w:eastAsia="华文仿宋" w:cs="Times New Roman"/>
                <w:color w:val="000000"/>
                <w:kern w:val="0"/>
                <w:szCs w:val="21"/>
              </w:rPr>
            </w:pPr>
          </w:p>
        </w:tc>
        <w:tc>
          <w:tcPr>
            <w:tcW w:w="1963" w:type="dxa"/>
            <w:noWrap w:val="0"/>
            <w:vAlign w:val="center"/>
          </w:tcPr>
          <w:p>
            <w:pPr>
              <w:widowControl/>
              <w:jc w:val="center"/>
              <w:rPr>
                <w:rFonts w:hint="default" w:ascii="Times New Roman" w:hAnsi="Times New Roman" w:eastAsia="华文仿宋" w:cs="Times New Roman"/>
                <w:color w:val="000000"/>
                <w:kern w:val="0"/>
                <w:szCs w:val="21"/>
              </w:rPr>
            </w:pPr>
          </w:p>
        </w:tc>
        <w:tc>
          <w:tcPr>
            <w:tcW w:w="1054" w:type="dxa"/>
            <w:noWrap w:val="0"/>
            <w:vAlign w:val="center"/>
          </w:tcPr>
          <w:p>
            <w:pPr>
              <w:widowControl/>
              <w:jc w:val="center"/>
              <w:rPr>
                <w:rFonts w:hint="default" w:ascii="Times New Roman" w:hAnsi="Times New Roman" w:eastAsia="华文仿宋" w:cs="Times New Roman"/>
                <w:color w:val="000000"/>
                <w:kern w:val="0"/>
                <w:szCs w:val="21"/>
              </w:rPr>
            </w:pPr>
          </w:p>
        </w:tc>
        <w:tc>
          <w:tcPr>
            <w:tcW w:w="1109" w:type="dxa"/>
            <w:noWrap w:val="0"/>
            <w:vAlign w:val="center"/>
          </w:tcPr>
          <w:p>
            <w:pPr>
              <w:widowControl/>
              <w:jc w:val="center"/>
              <w:rPr>
                <w:rFonts w:hint="default" w:ascii="Times New Roman" w:hAnsi="Times New Roman" w:eastAsia="华文仿宋" w:cs="Times New Roman"/>
                <w:color w:val="000000"/>
                <w:kern w:val="0"/>
                <w:szCs w:val="21"/>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156" w:beforeLines="50" w:line="360" w:lineRule="exact"/>
        <w:ind w:left="659" w:leftChars="131" w:hanging="240" w:hangingChars="10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w:t>
      </w:r>
      <w:r>
        <w:rPr>
          <w:rFonts w:hint="eastAsia" w:ascii="仿宋_GB2312" w:hAnsi="仿宋_GB2312" w:eastAsia="仿宋_GB2312" w:cs="仿宋_GB2312"/>
          <w:color w:val="000000"/>
          <w:sz w:val="24"/>
          <w:szCs w:val="24"/>
        </w:rPr>
        <w:t>.提</w:t>
      </w:r>
      <w:r>
        <w:rPr>
          <w:rFonts w:hint="default" w:ascii="Times New Roman" w:hAnsi="Times New Roman" w:eastAsia="仿宋_GB2312" w:cs="Times New Roman"/>
          <w:color w:val="000000"/>
          <w:sz w:val="24"/>
          <w:szCs w:val="24"/>
        </w:rPr>
        <w:t>供饮用水卫生安全巡查服务的机构建立有农村集中式供水基本情况档案或卫生安全巡查记录，才可判定为已开展饮用水卫生安全巡查。</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420" w:left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b</w:t>
      </w:r>
      <w:r>
        <w:rPr>
          <w:rFonts w:hint="default" w:ascii="仿宋_GB2312" w:hAnsi="仿宋_GB2312" w:eastAsia="仿宋_GB2312" w:cs="仿宋_GB2312"/>
          <w:color w:val="000000"/>
          <w:sz w:val="24"/>
          <w:szCs w:val="24"/>
        </w:rPr>
        <w:t>.</w:t>
      </w:r>
      <w:r>
        <w:rPr>
          <w:rFonts w:hint="default" w:ascii="Times New Roman" w:hAnsi="Times New Roman" w:eastAsia="仿宋_GB2312" w:cs="Times New Roman"/>
          <w:color w:val="000000"/>
          <w:sz w:val="24"/>
          <w:szCs w:val="24"/>
        </w:rPr>
        <w:t>指由饮用水卫生安全巡查服务机构建立的相关档案。</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0"/>
          <w:szCs w:val="30"/>
        </w:rPr>
        <w:br w:type="page"/>
      </w:r>
      <w:r>
        <w:rPr>
          <w:rFonts w:hint="default" w:ascii="Times New Roman" w:hAnsi="Times New Roman" w:eastAsia="黑体" w:cs="Times New Roman"/>
          <w:color w:val="000000"/>
          <w:sz w:val="32"/>
          <w:szCs w:val="32"/>
        </w:rPr>
        <w:t>附表8</w:t>
      </w:r>
    </w:p>
    <w:p>
      <w:pPr>
        <w:keepNext w:val="0"/>
        <w:keepLines w:val="0"/>
        <w:pageBreakBefore w:val="0"/>
        <w:widowControl w:val="0"/>
        <w:kinsoku/>
        <w:wordWrap/>
        <w:overflowPunct/>
        <w:topLinePunct w:val="0"/>
        <w:autoSpaceDE/>
        <w:autoSpaceDN/>
        <w:bidi w:val="0"/>
        <w:adjustRightInd/>
        <w:snapToGrid w:val="0"/>
        <w:spacing w:before="95" w:beforeLines="30" w:after="251"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2020年小型集中式供水和二次供水水质国家随机监督抽查信息汇总表</w:t>
      </w:r>
    </w:p>
    <w:tbl>
      <w:tblPr>
        <w:tblStyle w:val="4"/>
        <w:tblW w:w="14255" w:type="dxa"/>
        <w:jc w:val="center"/>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466"/>
        <w:gridCol w:w="1392"/>
        <w:gridCol w:w="778"/>
        <w:gridCol w:w="778"/>
        <w:gridCol w:w="778"/>
        <w:gridCol w:w="778"/>
        <w:gridCol w:w="778"/>
        <w:gridCol w:w="778"/>
        <w:gridCol w:w="778"/>
        <w:gridCol w:w="1078"/>
        <w:gridCol w:w="478"/>
        <w:gridCol w:w="778"/>
        <w:gridCol w:w="778"/>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exact"/>
          <w:jc w:val="center"/>
        </w:trPr>
        <w:tc>
          <w:tcPr>
            <w:tcW w:w="1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单位类别</w:t>
            </w:r>
          </w:p>
        </w:tc>
        <w:tc>
          <w:tcPr>
            <w:tcW w:w="14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检测单位数</w:t>
            </w:r>
            <w:r>
              <w:rPr>
                <w:rFonts w:hint="eastAsia" w:ascii="黑体" w:hAnsi="黑体" w:eastAsia="黑体" w:cs="黑体"/>
                <w:color w:val="000000"/>
                <w:kern w:val="0"/>
                <w:szCs w:val="21"/>
                <w:vertAlign w:val="superscript"/>
              </w:rPr>
              <w:t>(a)</w:t>
            </w:r>
          </w:p>
        </w:tc>
        <w:tc>
          <w:tcPr>
            <w:tcW w:w="139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合格单位数</w:t>
            </w:r>
            <w:r>
              <w:rPr>
                <w:rFonts w:hint="eastAsia" w:ascii="黑体" w:hAnsi="黑体" w:eastAsia="黑体" w:cs="黑体"/>
                <w:color w:val="000000"/>
                <w:kern w:val="0"/>
                <w:szCs w:val="21"/>
                <w:vertAlign w:val="superscript"/>
              </w:rPr>
              <w:t>(b)</w:t>
            </w:r>
          </w:p>
        </w:tc>
        <w:tc>
          <w:tcPr>
            <w:tcW w:w="15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色度</w:t>
            </w:r>
          </w:p>
        </w:tc>
        <w:tc>
          <w:tcPr>
            <w:tcW w:w="15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浑浊度</w:t>
            </w:r>
          </w:p>
        </w:tc>
        <w:tc>
          <w:tcPr>
            <w:tcW w:w="15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臭和味</w:t>
            </w:r>
          </w:p>
        </w:tc>
        <w:tc>
          <w:tcPr>
            <w:tcW w:w="18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肉眼可见物</w:t>
            </w:r>
          </w:p>
        </w:tc>
        <w:tc>
          <w:tcPr>
            <w:tcW w:w="12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pH</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exact"/>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Cs w:val="21"/>
              </w:rPr>
            </w:pPr>
          </w:p>
        </w:tc>
        <w:tc>
          <w:tcPr>
            <w:tcW w:w="146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Cs w:val="21"/>
              </w:rPr>
            </w:pPr>
          </w:p>
        </w:tc>
        <w:tc>
          <w:tcPr>
            <w:tcW w:w="139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Cs w:val="21"/>
              </w:rPr>
            </w:pP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Cs w:val="21"/>
              </w:rPr>
            </w:pPr>
            <w:r>
              <w:rPr>
                <w:rFonts w:hint="eastAsia" w:ascii="黑体" w:hAnsi="黑体" w:eastAsia="黑体" w:cs="黑体"/>
                <w:color w:val="000000"/>
                <w:kern w:val="0"/>
                <w:szCs w:val="21"/>
              </w:rPr>
              <w:t>检测单位数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合格单位数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检测单位数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合格单位数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检测单位数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合格单位数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检测单位数</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合格单位数</w:t>
            </w:r>
          </w:p>
        </w:tc>
        <w:tc>
          <w:tcPr>
            <w:tcW w:w="4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检测单位数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合格单位数</w:t>
            </w:r>
          </w:p>
        </w:tc>
        <w:tc>
          <w:tcPr>
            <w:tcW w:w="7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检测单位数</w:t>
            </w:r>
          </w:p>
        </w:tc>
        <w:tc>
          <w:tcPr>
            <w:tcW w:w="109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2" w:type="dxa"/>
            <w:noWrap w:val="0"/>
            <w:vAlign w:val="center"/>
          </w:tcPr>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小型集中式供水</w:t>
            </w:r>
          </w:p>
        </w:tc>
        <w:tc>
          <w:tcPr>
            <w:tcW w:w="1466" w:type="dxa"/>
            <w:noWrap w:val="0"/>
            <w:vAlign w:val="center"/>
          </w:tcPr>
          <w:p>
            <w:pPr>
              <w:jc w:val="center"/>
              <w:rPr>
                <w:rFonts w:hint="default" w:ascii="Times New Roman" w:hAnsi="Times New Roman" w:eastAsia="黑体" w:cs="Times New Roman"/>
                <w:color w:val="000000"/>
                <w:szCs w:val="21"/>
              </w:rPr>
            </w:pPr>
          </w:p>
        </w:tc>
        <w:tc>
          <w:tcPr>
            <w:tcW w:w="1392" w:type="dxa"/>
            <w:noWrap w:val="0"/>
            <w:vAlign w:val="center"/>
          </w:tcPr>
          <w:p>
            <w:pPr>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1078" w:type="dxa"/>
            <w:noWrap w:val="0"/>
            <w:vAlign w:val="center"/>
          </w:tcPr>
          <w:p>
            <w:pPr>
              <w:spacing w:line="240" w:lineRule="exact"/>
              <w:jc w:val="center"/>
              <w:rPr>
                <w:rFonts w:hint="default" w:ascii="Times New Roman" w:hAnsi="Times New Roman" w:eastAsia="黑体" w:cs="Times New Roman"/>
                <w:color w:val="000000"/>
                <w:szCs w:val="21"/>
              </w:rPr>
            </w:pPr>
          </w:p>
        </w:tc>
        <w:tc>
          <w:tcPr>
            <w:tcW w:w="4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778" w:type="dxa"/>
            <w:noWrap w:val="0"/>
            <w:vAlign w:val="center"/>
          </w:tcPr>
          <w:p>
            <w:pPr>
              <w:spacing w:line="240" w:lineRule="exact"/>
              <w:jc w:val="center"/>
              <w:rPr>
                <w:rFonts w:hint="default" w:ascii="Times New Roman" w:hAnsi="Times New Roman" w:eastAsia="黑体" w:cs="Times New Roman"/>
                <w:color w:val="000000"/>
                <w:szCs w:val="21"/>
              </w:rPr>
            </w:pPr>
          </w:p>
        </w:tc>
        <w:tc>
          <w:tcPr>
            <w:tcW w:w="1097" w:type="dxa"/>
            <w:noWrap w:val="0"/>
            <w:vAlign w:val="center"/>
          </w:tcPr>
          <w:p>
            <w:pPr>
              <w:spacing w:line="240" w:lineRule="exact"/>
              <w:jc w:val="center"/>
              <w:rPr>
                <w:rFonts w:hint="default" w:ascii="Times New Roman" w:hAnsi="Times New Roman" w:eastAsia="黑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42" w:type="dxa"/>
            <w:noWrap w:val="0"/>
            <w:vAlign w:val="center"/>
          </w:tcPr>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二次供水</w:t>
            </w:r>
          </w:p>
        </w:tc>
        <w:tc>
          <w:tcPr>
            <w:tcW w:w="1466" w:type="dxa"/>
            <w:noWrap w:val="0"/>
            <w:vAlign w:val="center"/>
          </w:tcPr>
          <w:p>
            <w:pPr>
              <w:jc w:val="center"/>
              <w:rPr>
                <w:rFonts w:hint="default" w:ascii="Times New Roman" w:hAnsi="Times New Roman" w:eastAsia="黑体" w:cs="Times New Roman"/>
                <w:color w:val="000000"/>
                <w:szCs w:val="21"/>
              </w:rPr>
            </w:pPr>
          </w:p>
        </w:tc>
        <w:tc>
          <w:tcPr>
            <w:tcW w:w="1392" w:type="dxa"/>
            <w:noWrap w:val="0"/>
            <w:vAlign w:val="center"/>
          </w:tcPr>
          <w:p>
            <w:pPr>
              <w:jc w:val="center"/>
              <w:rPr>
                <w:rFonts w:hint="default" w:ascii="Times New Roman" w:hAnsi="Times New Roman" w:eastAsia="黑体" w:cs="Times New Roman"/>
                <w:color w:val="00000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1078" w:type="dxa"/>
            <w:noWrap w:val="0"/>
            <w:vAlign w:val="center"/>
          </w:tcPr>
          <w:p>
            <w:pPr>
              <w:jc w:val="center"/>
              <w:rPr>
                <w:rFonts w:hint="default" w:ascii="Times New Roman" w:hAnsi="Times New Roman" w:eastAsia="华文仿宋" w:cs="Times New Roman"/>
                <w:color w:val="000000"/>
                <w:kern w:val="0"/>
                <w:szCs w:val="21"/>
              </w:rPr>
            </w:pPr>
          </w:p>
        </w:tc>
        <w:tc>
          <w:tcPr>
            <w:tcW w:w="4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778" w:type="dxa"/>
            <w:noWrap w:val="0"/>
            <w:vAlign w:val="center"/>
          </w:tcPr>
          <w:p>
            <w:pPr>
              <w:jc w:val="center"/>
              <w:rPr>
                <w:rFonts w:hint="default" w:ascii="Times New Roman" w:hAnsi="Times New Roman" w:eastAsia="华文仿宋" w:cs="Times New Roman"/>
                <w:color w:val="000000"/>
                <w:kern w:val="0"/>
                <w:szCs w:val="21"/>
              </w:rPr>
            </w:pPr>
          </w:p>
        </w:tc>
        <w:tc>
          <w:tcPr>
            <w:tcW w:w="1097" w:type="dxa"/>
            <w:noWrap w:val="0"/>
            <w:vAlign w:val="center"/>
          </w:tcPr>
          <w:p>
            <w:pPr>
              <w:spacing w:line="240" w:lineRule="exact"/>
              <w:jc w:val="center"/>
              <w:rPr>
                <w:rFonts w:hint="default" w:ascii="Times New Roman" w:hAnsi="Times New Roman" w:eastAsia="黑体" w:cs="Times New Roman"/>
                <w:color w:val="000000"/>
                <w:szCs w:val="21"/>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华文仿宋" w:cs="Times New Roman"/>
          <w:color w:val="000000"/>
          <w:sz w:val="21"/>
          <w:szCs w:val="21"/>
        </w:rPr>
        <w:t xml:space="preserve">    </w:t>
      </w:r>
      <w:r>
        <w:rPr>
          <w:rFonts w:hint="default" w:ascii="Times New Roman" w:hAnsi="Times New Roman" w:eastAsia="仿宋_GB2312" w:cs="Times New Roman"/>
          <w:color w:val="000000"/>
          <w:sz w:val="24"/>
          <w:szCs w:val="24"/>
        </w:rPr>
        <w:t>a.二次供水指检测设施数。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b.为表中检测项目均合格的供水单位或二次供水设施数，有一项不合格即判定为不合格单位或设施。</w:t>
      </w:r>
    </w:p>
    <w:p>
      <w:pPr>
        <w:keepNext w:val="0"/>
        <w:keepLines w:val="0"/>
        <w:pageBreakBefore w:val="0"/>
        <w:widowControl w:val="0"/>
        <w:kinsoku/>
        <w:wordWrap/>
        <w:overflowPunct/>
        <w:topLinePunct w:val="0"/>
        <w:autoSpaceDE/>
        <w:autoSpaceDN/>
        <w:bidi w:val="0"/>
        <w:adjustRightInd/>
        <w:snapToGrid w:val="0"/>
        <w:jc w:val="left"/>
        <w:textAlignment w:val="auto"/>
        <w:outlineLvl w:val="9"/>
        <w:rPr>
          <w:rFonts w:hint="default" w:ascii="Times New Roman" w:hAnsi="Times New Roman" w:eastAsia="黑体" w:cs="Times New Roman"/>
          <w:color w:val="000000"/>
          <w:sz w:val="20"/>
          <w:szCs w:val="20"/>
        </w:rPr>
      </w:pPr>
    </w:p>
    <w:p>
      <w:pPr>
        <w:snapToGrid w:val="0"/>
        <w:spacing w:before="156" w:beforeLines="50" w:after="156" w:afterLines="50"/>
        <w:rPr>
          <w:rFonts w:hint="default" w:ascii="Times New Roman" w:hAnsi="Times New Roman" w:eastAsia="黑体" w:cs="Times New Roman"/>
          <w:color w:val="000000"/>
          <w:sz w:val="30"/>
          <w:szCs w:val="30"/>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2"/>
          <w:szCs w:val="32"/>
        </w:rPr>
        <w:t>附表9</w:t>
      </w:r>
      <w:r>
        <w:rPr>
          <w:rFonts w:hint="default" w:ascii="Times New Roman" w:hAnsi="Times New Roman" w:eastAsia="黑体" w:cs="Times New Roman"/>
          <w:color w:val="000000"/>
          <w:sz w:val="30"/>
          <w:szCs w:val="30"/>
        </w:rPr>
        <w:t xml:space="preserve">                   </w:t>
      </w:r>
    </w:p>
    <w:p>
      <w:pPr>
        <w:keepNext w:val="0"/>
        <w:keepLines w:val="0"/>
        <w:pageBreakBefore w:val="0"/>
        <w:widowControl w:val="0"/>
        <w:kinsoku/>
        <w:wordWrap/>
        <w:overflowPunct/>
        <w:topLinePunct w:val="0"/>
        <w:autoSpaceDE/>
        <w:autoSpaceDN/>
        <w:bidi w:val="0"/>
        <w:adjustRightInd/>
        <w:snapToGrid w:val="0"/>
        <w:spacing w:before="95" w:beforeLines="30" w:after="251" w:afterLines="80" w:line="700" w:lineRule="exact"/>
        <w:jc w:val="center"/>
        <w:textAlignment w:val="auto"/>
        <w:rPr>
          <w:rFonts w:hint="default" w:ascii="Times New Roman" w:hAnsi="Times New Roman" w:eastAsia="方正小标宋简体" w:cs="Times New Roman"/>
          <w:b w:val="0"/>
          <w:bCs/>
          <w:color w:val="000000"/>
          <w:szCs w:val="21"/>
        </w:rPr>
      </w:pPr>
      <w:r>
        <w:rPr>
          <w:rFonts w:hint="default" w:ascii="Times New Roman" w:hAnsi="Times New Roman" w:eastAsia="方正小标宋简体" w:cs="Times New Roman"/>
          <w:b w:val="0"/>
          <w:bCs/>
          <w:color w:val="000000"/>
          <w:sz w:val="44"/>
          <w:szCs w:val="44"/>
        </w:rPr>
        <w:t>2020年二次供水卫生管理国家随机监督抽查信息汇总表</w:t>
      </w:r>
    </w:p>
    <w:tbl>
      <w:tblPr>
        <w:tblStyle w:val="3"/>
        <w:tblW w:w="13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47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辖区内二次供水设施总数</w:t>
            </w:r>
          </w:p>
        </w:tc>
        <w:tc>
          <w:tcPr>
            <w:tcW w:w="13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检查设施数</w:t>
            </w:r>
          </w:p>
        </w:tc>
        <w:tc>
          <w:tcPr>
            <w:tcW w:w="6804"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检查内容符合要求设施数</w:t>
            </w:r>
          </w:p>
        </w:tc>
        <w:tc>
          <w:tcPr>
            <w:tcW w:w="15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已开展饮用水卫生安全巡查服务的设施数</w:t>
            </w:r>
          </w:p>
        </w:tc>
        <w:tc>
          <w:tcPr>
            <w:tcW w:w="1418" w:type="dxa"/>
            <w:vMerge w:val="restar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案件数</w:t>
            </w:r>
          </w:p>
        </w:tc>
        <w:tc>
          <w:tcPr>
            <w:tcW w:w="1376" w:type="dxa"/>
            <w:vMerge w:val="restart"/>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罚款金额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147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Cs w:val="21"/>
              </w:rPr>
            </w:pPr>
          </w:p>
        </w:tc>
        <w:tc>
          <w:tcPr>
            <w:tcW w:w="131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Cs w:val="21"/>
              </w:rPr>
            </w:pP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供管水人员健康</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体检和培训</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设施卫生防护及</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rPr>
              <w:t>周围环境</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储水设备定期</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清洗消毒</w:t>
            </w:r>
          </w:p>
        </w:tc>
        <w:tc>
          <w:tcPr>
            <w:tcW w:w="17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kern w:val="0"/>
                <w:szCs w:val="21"/>
              </w:rPr>
              <w:t>开展水质自检</w:t>
            </w:r>
          </w:p>
        </w:tc>
        <w:tc>
          <w:tcPr>
            <w:tcW w:w="15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Cs w:val="21"/>
              </w:rPr>
            </w:pPr>
          </w:p>
        </w:tc>
        <w:tc>
          <w:tcPr>
            <w:tcW w:w="141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Cs w:val="21"/>
              </w:rPr>
            </w:pPr>
          </w:p>
        </w:tc>
        <w:tc>
          <w:tcPr>
            <w:tcW w:w="13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9" w:hRule="atLeast"/>
          <w:jc w:val="center"/>
        </w:trPr>
        <w:tc>
          <w:tcPr>
            <w:tcW w:w="1477" w:type="dxa"/>
            <w:noWrap w:val="0"/>
            <w:vAlign w:val="center"/>
          </w:tcPr>
          <w:p>
            <w:pPr>
              <w:widowControl/>
              <w:jc w:val="center"/>
              <w:rPr>
                <w:rFonts w:hint="default" w:ascii="Times New Roman" w:hAnsi="Times New Roman" w:eastAsia="华文仿宋" w:cs="Times New Roman"/>
                <w:color w:val="000000"/>
                <w:kern w:val="0"/>
                <w:szCs w:val="21"/>
              </w:rPr>
            </w:pPr>
          </w:p>
        </w:tc>
        <w:tc>
          <w:tcPr>
            <w:tcW w:w="1316" w:type="dxa"/>
            <w:noWrap w:val="0"/>
            <w:vAlign w:val="center"/>
          </w:tcPr>
          <w:p>
            <w:pPr>
              <w:widowControl/>
              <w:jc w:val="center"/>
              <w:rPr>
                <w:rFonts w:hint="default" w:ascii="Times New Roman" w:hAnsi="Times New Roman" w:eastAsia="华文仿宋" w:cs="Times New Roman"/>
                <w:color w:val="000000"/>
                <w:kern w:val="0"/>
                <w:szCs w:val="21"/>
              </w:rPr>
            </w:pPr>
          </w:p>
        </w:tc>
        <w:tc>
          <w:tcPr>
            <w:tcW w:w="1701" w:type="dxa"/>
            <w:noWrap w:val="0"/>
            <w:vAlign w:val="center"/>
          </w:tcPr>
          <w:p>
            <w:pPr>
              <w:widowControl/>
              <w:jc w:val="center"/>
              <w:rPr>
                <w:rFonts w:hint="default" w:ascii="Times New Roman" w:hAnsi="Times New Roman" w:eastAsia="华文仿宋" w:cs="Times New Roman"/>
                <w:color w:val="000000"/>
                <w:kern w:val="0"/>
                <w:szCs w:val="21"/>
              </w:rPr>
            </w:pPr>
          </w:p>
        </w:tc>
        <w:tc>
          <w:tcPr>
            <w:tcW w:w="1701" w:type="dxa"/>
            <w:noWrap w:val="0"/>
            <w:vAlign w:val="center"/>
          </w:tcPr>
          <w:p>
            <w:pPr>
              <w:widowControl/>
              <w:jc w:val="center"/>
              <w:rPr>
                <w:rFonts w:hint="default" w:ascii="Times New Roman" w:hAnsi="Times New Roman" w:eastAsia="华文仿宋" w:cs="Times New Roman"/>
                <w:color w:val="000000"/>
                <w:kern w:val="0"/>
                <w:szCs w:val="21"/>
              </w:rPr>
            </w:pPr>
          </w:p>
        </w:tc>
        <w:tc>
          <w:tcPr>
            <w:tcW w:w="1701" w:type="dxa"/>
            <w:noWrap w:val="0"/>
            <w:vAlign w:val="center"/>
          </w:tcPr>
          <w:p>
            <w:pPr>
              <w:widowControl/>
              <w:jc w:val="center"/>
              <w:rPr>
                <w:rFonts w:hint="default" w:ascii="Times New Roman" w:hAnsi="Times New Roman" w:eastAsia="华文仿宋" w:cs="Times New Roman"/>
                <w:color w:val="000000"/>
                <w:kern w:val="0"/>
                <w:szCs w:val="21"/>
              </w:rPr>
            </w:pPr>
          </w:p>
        </w:tc>
        <w:tc>
          <w:tcPr>
            <w:tcW w:w="1701" w:type="dxa"/>
            <w:noWrap w:val="0"/>
            <w:vAlign w:val="center"/>
          </w:tcPr>
          <w:p>
            <w:pPr>
              <w:widowControl/>
              <w:jc w:val="center"/>
              <w:rPr>
                <w:rFonts w:hint="default" w:ascii="Times New Roman" w:hAnsi="Times New Roman" w:eastAsia="华文仿宋" w:cs="Times New Roman"/>
                <w:color w:val="000000"/>
                <w:kern w:val="0"/>
                <w:szCs w:val="21"/>
              </w:rPr>
            </w:pPr>
          </w:p>
        </w:tc>
        <w:tc>
          <w:tcPr>
            <w:tcW w:w="1559" w:type="dxa"/>
            <w:noWrap w:val="0"/>
            <w:vAlign w:val="center"/>
          </w:tcPr>
          <w:p>
            <w:pPr>
              <w:widowControl/>
              <w:jc w:val="center"/>
              <w:rPr>
                <w:rFonts w:hint="default" w:ascii="Times New Roman" w:hAnsi="Times New Roman" w:eastAsia="华文仿宋" w:cs="Times New Roman"/>
                <w:color w:val="000000"/>
                <w:kern w:val="0"/>
                <w:szCs w:val="21"/>
              </w:rPr>
            </w:pPr>
          </w:p>
        </w:tc>
        <w:tc>
          <w:tcPr>
            <w:tcW w:w="1418" w:type="dxa"/>
            <w:noWrap w:val="0"/>
            <w:vAlign w:val="center"/>
          </w:tcPr>
          <w:p>
            <w:pPr>
              <w:widowControl/>
              <w:jc w:val="center"/>
              <w:rPr>
                <w:rFonts w:hint="default" w:ascii="Times New Roman" w:hAnsi="Times New Roman" w:eastAsia="华文仿宋" w:cs="Times New Roman"/>
                <w:color w:val="000000"/>
                <w:kern w:val="0"/>
                <w:szCs w:val="21"/>
              </w:rPr>
            </w:pPr>
          </w:p>
        </w:tc>
        <w:tc>
          <w:tcPr>
            <w:tcW w:w="1376" w:type="dxa"/>
            <w:noWrap w:val="0"/>
            <w:vAlign w:val="center"/>
          </w:tcPr>
          <w:p>
            <w:pPr>
              <w:widowControl/>
              <w:jc w:val="center"/>
              <w:rPr>
                <w:rFonts w:hint="default" w:ascii="Times New Roman" w:hAnsi="Times New Roman" w:eastAsia="华文仿宋" w:cs="Times New Roman"/>
                <w:color w:val="000000"/>
                <w:kern w:val="0"/>
                <w:szCs w:val="21"/>
              </w:rPr>
            </w:pPr>
          </w:p>
        </w:tc>
      </w:tr>
    </w:tbl>
    <w:p>
      <w:pPr>
        <w:keepNext w:val="0"/>
        <w:keepLines w:val="0"/>
        <w:pageBreakBefore w:val="0"/>
        <w:widowControl w:val="0"/>
        <w:kinsoku/>
        <w:wordWrap/>
        <w:overflowPunct/>
        <w:topLinePunct w:val="0"/>
        <w:autoSpaceDE/>
        <w:autoSpaceDN/>
        <w:bidi w:val="0"/>
        <w:adjustRightInd/>
        <w:snapToGrid w:val="0"/>
        <w:jc w:val="left"/>
        <w:textAlignment w:val="auto"/>
        <w:outlineLvl w:val="9"/>
        <w:rPr>
          <w:rFonts w:hint="default" w:ascii="Times New Roman" w:hAnsi="Times New Roman" w:eastAsia="黑体" w:cs="Times New Roman"/>
          <w:color w:val="000000"/>
          <w:sz w:val="30"/>
          <w:szCs w:val="30"/>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rPr>
        <w:br w:type="page"/>
      </w:r>
      <w:r>
        <w:rPr>
          <w:rFonts w:hint="default" w:ascii="Times New Roman" w:hAnsi="Times New Roman" w:eastAsia="黑体" w:cs="Times New Roman"/>
          <w:color w:val="000000"/>
          <w:sz w:val="32"/>
          <w:szCs w:val="32"/>
        </w:rPr>
        <w:t>附表10</w:t>
      </w:r>
    </w:p>
    <w:p>
      <w:pPr>
        <w:keepNext w:val="0"/>
        <w:keepLines w:val="0"/>
        <w:pageBreakBefore w:val="0"/>
        <w:widowControl w:val="0"/>
        <w:kinsoku/>
        <w:wordWrap/>
        <w:overflowPunct/>
        <w:topLinePunct w:val="0"/>
        <w:autoSpaceDE/>
        <w:autoSpaceDN/>
        <w:bidi w:val="0"/>
        <w:adjustRightInd/>
        <w:snapToGrid w:val="0"/>
        <w:spacing w:before="95" w:beforeLines="30" w:after="251" w:afterLines="80" w:line="700" w:lineRule="exact"/>
        <w:jc w:val="center"/>
        <w:textAlignment w:val="auto"/>
        <w:rPr>
          <w:rFonts w:hint="default" w:ascii="Times New Roman" w:hAnsi="Times New Roman" w:eastAsia="方正小标宋简体" w:cs="Times New Roman"/>
          <w:b w:val="0"/>
          <w:bCs/>
          <w:color w:val="000000"/>
          <w:szCs w:val="32"/>
        </w:rPr>
      </w:pPr>
      <w:r>
        <w:rPr>
          <w:rFonts w:hint="default" w:ascii="Times New Roman" w:hAnsi="Times New Roman" w:eastAsia="方正小标宋简体" w:cs="Times New Roman"/>
          <w:b w:val="0"/>
          <w:bCs/>
          <w:color w:val="000000"/>
          <w:sz w:val="44"/>
          <w:szCs w:val="44"/>
        </w:rPr>
        <w:t>2020年涉水产品经营单位国家随机监督抽查信息汇总表</w:t>
      </w:r>
    </w:p>
    <w:tbl>
      <w:tblPr>
        <w:tblStyle w:val="3"/>
        <w:tblW w:w="13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单位类别</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检查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单位数</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合格数</w:t>
            </w:r>
            <w:r>
              <w:rPr>
                <w:rFonts w:hint="eastAsia" w:ascii="黑体" w:hAnsi="黑体" w:eastAsia="黑体" w:cs="黑体"/>
                <w:color w:val="000000"/>
                <w:szCs w:val="21"/>
                <w:vertAlign w:val="superscript"/>
              </w:rPr>
              <w:t>(a)</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检查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产品数</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产品检查合格数</w:t>
            </w:r>
            <w:r>
              <w:rPr>
                <w:rFonts w:hint="eastAsia" w:ascii="黑体" w:hAnsi="黑体" w:eastAsia="黑体" w:cs="黑体"/>
                <w:color w:val="000000"/>
                <w:szCs w:val="21"/>
                <w:vertAlign w:val="superscript"/>
              </w:rPr>
              <w:t>(b)</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发现无证产品数</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检测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产品数</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产品检测合格数</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责令限期改正单位数</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案件数</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在华责任单位</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城市实体经销单位</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乡镇实体经销单位</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网店</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8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现制现售饮用水经营单位</w:t>
            </w:r>
            <w:r>
              <w:rPr>
                <w:rFonts w:hint="eastAsia" w:ascii="仿宋_GB2312" w:hAnsi="仿宋_GB2312" w:eastAsia="仿宋_GB2312" w:cs="仿宋_GB2312"/>
                <w:color w:val="000000"/>
                <w:szCs w:val="21"/>
                <w:vertAlign w:val="superscript"/>
              </w:rPr>
              <w:t>(c)</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Cs w:val="21"/>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6" w:beforeLines="50" w:line="360" w:lineRule="exact"/>
        <w:ind w:left="420" w:leftChars="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a.产品取得卫生许可批件，产品检查和检测均合格的单位数。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420" w:leftChars="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b.产品取得卫生许可批件及标签、说明书均合格的产品数。</w:t>
      </w:r>
    </w:p>
    <w:p>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c.产品数指应用现场数。</w:t>
      </w:r>
    </w:p>
    <w:p>
      <w:pPr>
        <w:rPr>
          <w:rFonts w:hint="default" w:ascii="Times New Roman" w:hAnsi="Times New Roman" w:eastAsia="华文仿宋" w:cs="Times New Roman"/>
          <w:color w:val="000000"/>
          <w:sz w:val="21"/>
          <w:szCs w:val="21"/>
        </w:rPr>
      </w:pPr>
    </w:p>
    <w:p>
      <w:pPr>
        <w:rPr>
          <w:rFonts w:hint="default" w:ascii="Times New Roman" w:hAnsi="Times New Roman" w:eastAsia="华文仿宋" w:cs="Times New Roman"/>
          <w:color w:val="000000"/>
          <w:sz w:val="21"/>
          <w:szCs w:val="21"/>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表11</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95" w:beforeLines="30" w:after="251" w:afterLines="80" w:line="700" w:lineRule="exact"/>
        <w:jc w:val="center"/>
        <w:textAlignment w:val="auto"/>
        <w:rPr>
          <w:rFonts w:hint="default" w:ascii="Times New Roman" w:hAnsi="Times New Roman" w:eastAsia="方正小标宋简体" w:cs="Times New Roman"/>
          <w:b w:val="0"/>
          <w:bCs w:val="0"/>
          <w:color w:val="000000"/>
          <w:sz w:val="32"/>
          <w:szCs w:val="32"/>
        </w:rPr>
      </w:pPr>
      <w:r>
        <w:rPr>
          <w:rFonts w:hint="default" w:ascii="Times New Roman" w:hAnsi="Times New Roman" w:eastAsia="方正小标宋简体" w:cs="Times New Roman"/>
          <w:b w:val="0"/>
          <w:bCs w:val="0"/>
          <w:color w:val="000000"/>
          <w:sz w:val="44"/>
          <w:szCs w:val="44"/>
        </w:rPr>
        <w:t>2020年餐具饮具集中消毒服务单位国家随机监督抽查信息汇总表</w:t>
      </w:r>
    </w:p>
    <w:tbl>
      <w:tblPr>
        <w:tblStyle w:val="3"/>
        <w:tblW w:w="13938" w:type="dxa"/>
        <w:jc w:val="center"/>
        <w:tblInd w:w="1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8"/>
        <w:gridCol w:w="1016"/>
        <w:gridCol w:w="1027"/>
        <w:gridCol w:w="1027"/>
        <w:gridCol w:w="969"/>
        <w:gridCol w:w="1027"/>
        <w:gridCol w:w="1004"/>
        <w:gridCol w:w="1119"/>
        <w:gridCol w:w="1131"/>
        <w:gridCol w:w="1256"/>
        <w:gridCol w:w="1063"/>
        <w:gridCol w:w="877"/>
        <w:gridCol w:w="1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exact"/>
          <w:jc w:val="center"/>
        </w:trPr>
        <w:tc>
          <w:tcPr>
            <w:tcW w:w="13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检查单位数</w:t>
            </w:r>
          </w:p>
        </w:tc>
        <w:tc>
          <w:tcPr>
            <w:tcW w:w="718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生产管理合规单位数</w:t>
            </w:r>
          </w:p>
        </w:tc>
        <w:tc>
          <w:tcPr>
            <w:tcW w:w="23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出厂餐饮具检测情况</w:t>
            </w:r>
          </w:p>
        </w:tc>
        <w:tc>
          <w:tcPr>
            <w:tcW w:w="10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依法调查处理单位数</w:t>
            </w:r>
          </w:p>
        </w:tc>
        <w:tc>
          <w:tcPr>
            <w:tcW w:w="8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案件数</w:t>
            </w:r>
          </w:p>
        </w:tc>
        <w:tc>
          <w:tcPr>
            <w:tcW w:w="10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罚款金额（万元）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68" w:hRule="exact"/>
          <w:jc w:val="center"/>
        </w:trPr>
        <w:tc>
          <w:tcPr>
            <w:tcW w:w="133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rPr>
              <w:t>用水</w:t>
            </w:r>
            <w:r>
              <w:rPr>
                <w:rFonts w:hint="eastAsia" w:ascii="黑体" w:hAnsi="黑体" w:eastAsia="黑体" w:cs="黑体"/>
                <w:color w:val="000000"/>
                <w:kern w:val="0"/>
                <w:sz w:val="24"/>
                <w:szCs w:val="24"/>
                <w:vertAlign w:val="superscript"/>
                <w:lang w:eastAsia="zh-CN"/>
              </w:rPr>
              <w:t>（</w:t>
            </w:r>
            <w:r>
              <w:rPr>
                <w:rFonts w:hint="eastAsia" w:ascii="黑体" w:hAnsi="黑体" w:eastAsia="黑体" w:cs="黑体"/>
                <w:color w:val="000000"/>
                <w:kern w:val="0"/>
                <w:sz w:val="24"/>
                <w:szCs w:val="24"/>
                <w:vertAlign w:val="superscript"/>
              </w:rPr>
              <w:t>a</w:t>
            </w:r>
            <w:r>
              <w:rPr>
                <w:rFonts w:hint="eastAsia" w:ascii="黑体" w:hAnsi="黑体" w:eastAsia="黑体" w:cs="黑体"/>
                <w:color w:val="000000"/>
                <w:kern w:val="0"/>
                <w:sz w:val="24"/>
                <w:szCs w:val="24"/>
                <w:vertAlign w:val="superscript"/>
                <w:lang w:eastAsia="zh-CN"/>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rPr>
              <w:t>使用洗涤剂、消毒剂</w:t>
            </w:r>
            <w:r>
              <w:rPr>
                <w:rFonts w:hint="eastAsia" w:ascii="黑体" w:hAnsi="黑体" w:eastAsia="黑体" w:cs="黑体"/>
                <w:color w:val="000000"/>
                <w:kern w:val="0"/>
                <w:sz w:val="24"/>
                <w:szCs w:val="24"/>
                <w:vertAlign w:val="superscript"/>
                <w:lang w:eastAsia="zh-CN"/>
              </w:rPr>
              <w:t>（</w:t>
            </w:r>
            <w:r>
              <w:rPr>
                <w:rFonts w:hint="eastAsia" w:ascii="黑体" w:hAnsi="黑体" w:eastAsia="黑体" w:cs="黑体"/>
                <w:color w:val="000000"/>
                <w:kern w:val="0"/>
                <w:sz w:val="24"/>
                <w:szCs w:val="24"/>
                <w:vertAlign w:val="superscript"/>
              </w:rPr>
              <w:t>b</w:t>
            </w:r>
            <w:r>
              <w:rPr>
                <w:rFonts w:hint="eastAsia" w:ascii="黑体" w:hAnsi="黑体" w:eastAsia="黑体" w:cs="黑体"/>
                <w:color w:val="000000"/>
                <w:kern w:val="0"/>
                <w:sz w:val="24"/>
                <w:szCs w:val="24"/>
                <w:vertAlign w:val="superscript"/>
                <w:lang w:eastAsia="zh-CN"/>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消毒餐饮具逐批检验</w:t>
            </w:r>
          </w:p>
        </w:tc>
        <w:tc>
          <w:tcPr>
            <w:tcW w:w="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餐饮具随附消毒合格证明</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rPr>
              <w:t>出厂检验记录</w:t>
            </w:r>
            <w:r>
              <w:rPr>
                <w:rFonts w:hint="eastAsia" w:ascii="黑体" w:hAnsi="黑体" w:eastAsia="黑体" w:cs="黑体"/>
                <w:color w:val="000000"/>
                <w:kern w:val="0"/>
                <w:sz w:val="24"/>
                <w:szCs w:val="24"/>
                <w:vertAlign w:val="superscript"/>
                <w:lang w:eastAsia="zh-CN"/>
              </w:rPr>
              <w:t>（</w:t>
            </w:r>
            <w:r>
              <w:rPr>
                <w:rFonts w:hint="eastAsia" w:ascii="黑体" w:hAnsi="黑体" w:eastAsia="黑体" w:cs="黑体"/>
                <w:color w:val="000000"/>
                <w:kern w:val="0"/>
                <w:sz w:val="24"/>
                <w:szCs w:val="24"/>
                <w:vertAlign w:val="superscript"/>
              </w:rPr>
              <w:t>c</w:t>
            </w:r>
            <w:r>
              <w:rPr>
                <w:rFonts w:hint="eastAsia" w:ascii="黑体" w:hAnsi="黑体" w:eastAsia="黑体" w:cs="黑体"/>
                <w:color w:val="000000"/>
                <w:kern w:val="0"/>
                <w:sz w:val="24"/>
                <w:szCs w:val="24"/>
                <w:vertAlign w:val="superscript"/>
                <w:lang w:eastAsia="zh-CN"/>
              </w:rPr>
              <w:t>）</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出厂检验记录保存</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rPr>
              <w:t>餐饮具包装标注相关内容</w:t>
            </w:r>
            <w:r>
              <w:rPr>
                <w:rFonts w:hint="eastAsia" w:ascii="黑体" w:hAnsi="黑体" w:eastAsia="黑体" w:cs="黑体"/>
                <w:color w:val="000000"/>
                <w:kern w:val="0"/>
                <w:sz w:val="24"/>
                <w:szCs w:val="24"/>
                <w:vertAlign w:val="superscript"/>
                <w:lang w:eastAsia="zh-CN"/>
              </w:rPr>
              <w:t>（</w:t>
            </w:r>
            <w:r>
              <w:rPr>
                <w:rFonts w:hint="eastAsia" w:ascii="黑体" w:hAnsi="黑体" w:eastAsia="黑体" w:cs="黑体"/>
                <w:color w:val="000000"/>
                <w:kern w:val="0"/>
                <w:sz w:val="24"/>
                <w:szCs w:val="24"/>
                <w:vertAlign w:val="superscript"/>
              </w:rPr>
              <w:t>d</w:t>
            </w:r>
            <w:r>
              <w:rPr>
                <w:rFonts w:hint="eastAsia" w:ascii="黑体" w:hAnsi="黑体" w:eastAsia="黑体" w:cs="黑体"/>
                <w:color w:val="000000"/>
                <w:kern w:val="0"/>
                <w:sz w:val="24"/>
                <w:szCs w:val="24"/>
                <w:vertAlign w:val="superscript"/>
                <w:lang w:eastAsia="zh-CN"/>
              </w:rPr>
              <w:t>）</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检测餐饮具套数</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检测合格套数</w:t>
            </w:r>
          </w:p>
        </w:tc>
        <w:tc>
          <w:tcPr>
            <w:tcW w:w="10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1"/>
                <w:szCs w:val="21"/>
              </w:rPr>
            </w:pPr>
          </w:p>
        </w:tc>
        <w:tc>
          <w:tcPr>
            <w:tcW w:w="87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1"/>
                <w:szCs w:val="21"/>
              </w:rPr>
            </w:pPr>
          </w:p>
        </w:tc>
        <w:tc>
          <w:tcPr>
            <w:tcW w:w="10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5" w:hRule="atLeast"/>
          <w:jc w:val="center"/>
        </w:trPr>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华文仿宋" w:cs="Times New Roman"/>
                <w:color w:val="000000"/>
                <w:kern w:val="0"/>
                <w:sz w:val="21"/>
                <w:szCs w:val="21"/>
              </w:rPr>
            </w:pPr>
          </w:p>
        </w:tc>
      </w:tr>
    </w:tbl>
    <w:p>
      <w:pPr>
        <w:keepNext w:val="0"/>
        <w:keepLines w:val="0"/>
        <w:pageBreakBefore w:val="0"/>
        <w:widowControl w:val="0"/>
        <w:tabs>
          <w:tab w:val="left" w:pos="709"/>
        </w:tabs>
        <w:kinsoku/>
        <w:wordWrap/>
        <w:overflowPunct/>
        <w:topLinePunct w:val="0"/>
        <w:autoSpaceDE/>
        <w:autoSpaceDN/>
        <w:bidi w:val="0"/>
        <w:adjustRightInd/>
        <w:snapToGrid/>
        <w:spacing w:before="156" w:beforeLines="50" w:line="360" w:lineRule="exact"/>
        <w:ind w:right="-330" w:rightChars="-103"/>
        <w:jc w:val="left"/>
        <w:textAlignment w:val="auto"/>
        <w:rPr>
          <w:rFonts w:hint="default" w:ascii="Times New Roman" w:hAnsi="Times New Roman" w:eastAsia="仿宋_GB2312" w:cs="Times New Roman"/>
          <w:color w:val="000000"/>
          <w:sz w:val="21"/>
          <w:szCs w:val="21"/>
        </w:rPr>
      </w:pPr>
      <w:r>
        <w:rPr>
          <w:rFonts w:hint="default" w:ascii="Times New Roman" w:hAnsi="Times New Roman" w:eastAsia="华文仿宋" w:cs="Times New Roman"/>
          <w:color w:val="000000"/>
          <w:sz w:val="21"/>
          <w:szCs w:val="21"/>
        </w:rPr>
        <w:t xml:space="preserve">    </w:t>
      </w:r>
      <w:r>
        <w:rPr>
          <w:rFonts w:hint="default" w:ascii="Times New Roman" w:hAnsi="Times New Roman" w:eastAsia="仿宋_GB2312" w:cs="Times New Roman"/>
          <w:color w:val="000000"/>
          <w:sz w:val="21"/>
          <w:szCs w:val="21"/>
        </w:rPr>
        <w:t>a.用水由持有效卫生许可证供水单位供应的，原则上视为合规；用水为自建设施供水或其他方式供应的，检查水质检验报告，判定合规情况。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b.使用的洗涤剂和消毒剂均符合规定的判定为合规单位，有一项不符合规定的判定为不合规单位。</w:t>
      </w:r>
    </w:p>
    <w:p>
      <w:pPr>
        <w:keepNext w:val="0"/>
        <w:keepLines w:val="0"/>
        <w:pageBreakBefore w:val="0"/>
        <w:widowControl w:val="0"/>
        <w:kinsoku/>
        <w:wordWrap/>
        <w:overflowPunct/>
        <w:topLinePunct w:val="0"/>
        <w:autoSpaceDE/>
        <w:autoSpaceDN/>
        <w:bidi w:val="0"/>
        <w:adjustRightInd/>
        <w:snapToGrid/>
        <w:spacing w:line="360" w:lineRule="exact"/>
        <w:ind w:right="-186" w:rightChars="-58"/>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 xml:space="preserve">    c.指建立出厂检验记录并记录出厂餐具饮具数量、消毒日期和批号、使用期限、出厂日期以及委托方名称、地址、联系方式等内容，缺项视为不合规。</w:t>
      </w:r>
    </w:p>
    <w:p>
      <w:r>
        <w:rPr>
          <w:rFonts w:hint="default" w:ascii="Times New Roman" w:hAnsi="Times New Roman" w:eastAsia="仿宋_GB2312" w:cs="Times New Roman"/>
          <w:color w:val="000000"/>
          <w:sz w:val="21"/>
          <w:szCs w:val="21"/>
        </w:rPr>
        <w:t xml:space="preserve">    d.指消毒后的餐具饮具在独立包装上标注单位名称、地址、联系方式、消毒日期和批号以及使用期限等内容，缺项视为不合规。</w:t>
      </w:r>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path/>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A62E7"/>
    <w:rsid w:val="45CA5A85"/>
    <w:rsid w:val="52CA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unhideWhenUsed/>
    <w:qFormat/>
    <w:uiPriority w:val="99"/>
    <w:pPr>
      <w:ind w:firstLine="420" w:firstLineChars="200"/>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2020-05-12T08:30:00Z</dcterms:created>
  <dc:creator>Administrator</dc:creator>
  <cp:lastModifiedBy>Administrator</cp:lastModifiedBy>
  <dcterms:modified xsi:type="dcterms:W3CDTF">2020-05-12T08:31:19Z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