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  <w:tab w:val="left" w:pos="1554"/>
          <w:tab w:val="left" w:pos="2486"/>
          <w:tab w:val="left" w:pos="3566"/>
          <w:tab w:val="left" w:pos="4646"/>
          <w:tab w:val="left" w:pos="5726"/>
          <w:tab w:val="left" w:pos="6900"/>
          <w:tab w:val="left" w:pos="7650"/>
          <w:tab w:val="left" w:pos="8966"/>
          <w:tab w:val="left" w:pos="10046"/>
          <w:tab w:val="left" w:pos="11126"/>
          <w:tab w:val="left" w:pos="12206"/>
          <w:tab w:val="left" w:pos="13077"/>
        </w:tabs>
        <w:spacing w:beforeLines="0" w:afterLines="0" w:line="400" w:lineRule="exact"/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附件3</w:t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方正小标宋简体" w:cs="Times New Roman"/>
          <w:i w:val="0"/>
          <w:color w:val="000000"/>
          <w:sz w:val="30"/>
          <w:szCs w:val="30"/>
          <w:u w:val="single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36"/>
          <w:szCs w:val="36"/>
          <w:u w:val="single"/>
          <w:lang w:val="en-US" w:eastAsia="zh-CN" w:bidi="ar-SA"/>
        </w:rPr>
        <w:t xml:space="preserve">         </w:t>
      </w:r>
      <w:r>
        <w:rPr>
          <w:rStyle w:val="4"/>
          <w:rFonts w:hint="default" w:ascii="Times New Roman" w:hAnsi="Times New Roman" w:cs="Times New Roman"/>
          <w:sz w:val="36"/>
          <w:szCs w:val="36"/>
          <w:lang w:val="en-US" w:eastAsia="zh-CN" w:bidi="ar-SA"/>
        </w:rPr>
        <w:t>年度广东省订单定向培养医学生培养状况汇总表</w:t>
      </w:r>
    </w:p>
    <w:p>
      <w:pPr>
        <w:tabs>
          <w:tab w:val="left" w:pos="1022"/>
          <w:tab w:val="left" w:pos="1895"/>
          <w:tab w:val="left" w:pos="2973"/>
          <w:tab w:val="left" w:pos="3900"/>
          <w:tab w:val="left" w:pos="4841"/>
          <w:tab w:val="left" w:pos="5726"/>
          <w:tab w:val="left" w:pos="6806"/>
          <w:tab w:val="left" w:pos="7650"/>
          <w:tab w:val="left" w:pos="8741"/>
          <w:tab w:val="left" w:pos="9682"/>
          <w:tab w:val="left" w:pos="11126"/>
          <w:tab w:val="left" w:pos="12206"/>
          <w:tab w:val="left" w:pos="12695"/>
        </w:tabs>
        <w:spacing w:beforeLines="0" w:afterLines="0" w:line="400" w:lineRule="exact"/>
        <w:rPr>
          <w:rFonts w:hint="default" w:ascii="Times New Roman" w:hAnsi="Times New Roman" w:eastAsia="宋体" w:cs="Times New Roman"/>
          <w:i w:val="0"/>
          <w:color w:val="00000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填报院校</w:t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联系人</w:t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填报日期</w:t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24"/>
          <w:szCs w:val="24"/>
          <w:u w:val="none"/>
        </w:rPr>
        <w:tab/>
      </w:r>
    </w:p>
    <w:tbl>
      <w:tblPr>
        <w:tblStyle w:val="2"/>
        <w:tblW w:w="1399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2"/>
        <w:gridCol w:w="873"/>
        <w:gridCol w:w="1078"/>
        <w:gridCol w:w="927"/>
        <w:gridCol w:w="941"/>
        <w:gridCol w:w="885"/>
        <w:gridCol w:w="1080"/>
        <w:gridCol w:w="844"/>
        <w:gridCol w:w="1091"/>
        <w:gridCol w:w="1009"/>
        <w:gridCol w:w="1036"/>
        <w:gridCol w:w="955"/>
        <w:gridCol w:w="954"/>
        <w:gridCol w:w="1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身份证号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定点培养院校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名称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专业名称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报到时间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毕业时间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定向县（市、区）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培养状况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已服务年限（年）</w:t>
            </w:r>
          </w:p>
        </w:tc>
        <w:tc>
          <w:tcPr>
            <w:tcW w:w="39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退款情况 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违约、延期、未报到、中途退学原因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应退费用（元）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已退款金额（元）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上传退款收款凭证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未退款金额（元）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Lines="0" w:afterLines="0" w:line="48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本表格填写当年度入学定向医学新生报到情况、当年毕业情况以及当年发生的违约、中途解除协议情况等，数据统计至当年9月30日。</w:t>
      </w:r>
    </w:p>
    <w:p>
      <w:pPr>
        <w:keepNext w:val="0"/>
        <w:keepLines w:val="0"/>
        <w:widowControl/>
        <w:suppressLineNumbers w:val="0"/>
        <w:spacing w:beforeLines="0" w:afterLines="0" w:line="48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培养状况为未报到、调剂转入、正常毕业、延期毕业、中途解除协议（非违约）、违约。延期毕业原因：如因病休学、成绩未达到要求等；中途解除协议原因：如退学、转入其他专业学习等。违约的需填写退款情况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lang w:bidi="ar-SA"/>
        </w:rPr>
        <w:t>应退费用=已享受免费教育费用×2×(6-已服务年限)/6。</w:t>
      </w:r>
    </w:p>
    <w:p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请各定点培养院校于每年10月31日前登录广东省住院医师规范化培训信息管理平台（网址：gd.wsglw.net）上报年度订单定向医学毕业生就业安排信息表。</w:t>
      </w:r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E6E00"/>
    <w:rsid w:val="132E6E00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2020-04-28T07:42:00Z</dcterms:created>
  <dc:creator>Administrator</dc:creator>
  <cp:lastModifiedBy>Administrator</cp:lastModifiedBy>
  <dcterms:modified xsi:type="dcterms:W3CDTF">2020-04-28T07:43:16Z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