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附件6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32"/>
        </w:rPr>
      </w:pPr>
      <w:bookmarkStart w:id="3" w:name="_GoBack"/>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2020年中国居民健康素养监测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广东省工作方案</w:t>
      </w:r>
    </w:p>
    <w:bookmarkEnd w:id="3"/>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为贯彻落实《</w:t>
      </w:r>
      <w:r>
        <w:rPr>
          <w:rFonts w:hint="default" w:ascii="Times New Roman" w:hAnsi="Times New Roman" w:eastAsia="仿宋_GB2312" w:cs="Times New Roman"/>
          <w:szCs w:val="32"/>
        </w:rPr>
        <w:t>“</w:t>
      </w:r>
      <w:r>
        <w:rPr>
          <w:rFonts w:hint="default" w:ascii="Times New Roman" w:hAnsi="Times New Roman" w:cs="Times New Roman"/>
          <w:szCs w:val="32"/>
        </w:rPr>
        <w:t>健康中国2030</w:t>
      </w:r>
      <w:r>
        <w:rPr>
          <w:rFonts w:hint="default" w:ascii="Times New Roman" w:hAnsi="Times New Roman" w:eastAsia="仿宋_GB2312" w:cs="Times New Roman"/>
          <w:szCs w:val="32"/>
        </w:rPr>
        <w:t>”</w:t>
      </w:r>
      <w:r>
        <w:rPr>
          <w:rFonts w:hint="default" w:ascii="Times New Roman" w:hAnsi="Times New Roman" w:cs="Times New Roman"/>
          <w:szCs w:val="32"/>
        </w:rPr>
        <w:t>规划纲要》《</w:t>
      </w:r>
      <w:r>
        <w:rPr>
          <w:rFonts w:hint="default" w:ascii="Times New Roman" w:hAnsi="Times New Roman" w:eastAsia="仿宋_GB2312" w:cs="Times New Roman"/>
          <w:szCs w:val="32"/>
        </w:rPr>
        <w:t>“十三五”</w:t>
      </w:r>
      <w:r>
        <w:rPr>
          <w:rFonts w:hint="default" w:ascii="Times New Roman" w:hAnsi="Times New Roman" w:cs="Times New Roman"/>
          <w:szCs w:val="32"/>
        </w:rPr>
        <w:t>卫生与健康规划》《全民健康素养促进行动规划（2014-2020年）》等相关文件要求，掌握我国居民健康素养水平变化趋势，2020年国家卫生健康委继续开展全国居民健康素养监测工作。按照《国家卫生健康委宣传司关于做好2020年健康素养促进行动项目工作的通知》及</w:t>
      </w:r>
      <w:r>
        <w:rPr>
          <w:rFonts w:hint="default" w:ascii="Times New Roman" w:hAnsi="Times New Roman" w:cs="Times New Roman"/>
          <w:szCs w:val="22"/>
        </w:rPr>
        <w:t>《</w:t>
      </w:r>
      <w:r>
        <w:rPr>
          <w:rFonts w:hint="default" w:ascii="Times New Roman" w:hAnsi="Times New Roman" w:eastAsia="仿宋_GB2312" w:cs="Times New Roman"/>
          <w:szCs w:val="22"/>
        </w:rPr>
        <w:t>“健</w:t>
      </w:r>
      <w:r>
        <w:rPr>
          <w:rFonts w:hint="default" w:ascii="Times New Roman" w:hAnsi="Times New Roman" w:cs="Times New Roman"/>
          <w:szCs w:val="22"/>
        </w:rPr>
        <w:t>康广东2030</w:t>
      </w:r>
      <w:r>
        <w:rPr>
          <w:rFonts w:hint="default" w:ascii="Times New Roman" w:hAnsi="Times New Roman" w:eastAsia="仿宋_GB2312" w:cs="Times New Roman"/>
          <w:szCs w:val="22"/>
        </w:rPr>
        <w:t>”规</w:t>
      </w:r>
      <w:r>
        <w:rPr>
          <w:rFonts w:hint="default" w:ascii="Times New Roman" w:hAnsi="Times New Roman" w:cs="Times New Roman"/>
          <w:szCs w:val="22"/>
        </w:rPr>
        <w:t>划》</w:t>
      </w:r>
      <w:r>
        <w:rPr>
          <w:rFonts w:hint="default" w:ascii="Times New Roman" w:hAnsi="Times New Roman" w:cs="Times New Roman"/>
          <w:szCs w:val="32"/>
        </w:rPr>
        <w:t>要求</w:t>
      </w:r>
      <w:r>
        <w:rPr>
          <w:rFonts w:hint="default" w:ascii="Times New Roman" w:hAnsi="Times New Roman" w:cs="Times New Roman"/>
          <w:szCs w:val="22"/>
        </w:rPr>
        <w:t>，</w:t>
      </w:r>
      <w:r>
        <w:rPr>
          <w:rFonts w:hint="default" w:ascii="Times New Roman" w:hAnsi="Times New Roman" w:cs="Times New Roman"/>
          <w:szCs w:val="32"/>
        </w:rPr>
        <w:t>以及基层优化、整合调查评估的需求，将2020年居民健康素养监测和</w:t>
      </w:r>
      <w:r>
        <w:rPr>
          <w:rFonts w:hint="default" w:ascii="Times New Roman" w:hAnsi="Times New Roman" w:cs="Times New Roman"/>
          <w:szCs w:val="22"/>
        </w:rPr>
        <w:t>健康促进县（区）相关调查相整合，结合我省实际，</w:t>
      </w:r>
      <w:r>
        <w:rPr>
          <w:rFonts w:hint="default" w:ascii="Times New Roman" w:hAnsi="Times New Roman" w:cs="Times New Roman"/>
          <w:szCs w:val="32"/>
        </w:rPr>
        <w:t>制定中国居民健康素养监测广东省项目工作方案如下。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一、监测目标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eastAsia" w:ascii="楷体_GB2312" w:hAnsi="楷体_GB2312" w:eastAsia="楷体_GB2312" w:cs="楷体_GB2312"/>
          <w:szCs w:val="32"/>
        </w:rPr>
        <w:t>（一）</w:t>
      </w:r>
      <w:r>
        <w:rPr>
          <w:rFonts w:hint="default" w:ascii="Times New Roman" w:hAnsi="Times New Roman" w:cs="Times New Roman"/>
          <w:szCs w:val="32"/>
        </w:rPr>
        <w:t>了解我省城乡居民健康素养水平和变化趋势；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rPr>
        <w:t>（二）</w:t>
      </w:r>
      <w:r>
        <w:rPr>
          <w:rFonts w:hint="default" w:ascii="Times New Roman" w:hAnsi="Times New Roman" w:cs="Times New Roman"/>
          <w:szCs w:val="32"/>
        </w:rPr>
        <w:t>分析我省城乡居民健康素养影响因素，确定优先工作领域；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rPr>
        <w:t>（三）</w:t>
      </w:r>
      <w:r>
        <w:rPr>
          <w:rFonts w:hint="default" w:ascii="Times New Roman" w:hAnsi="Times New Roman" w:cs="Times New Roman"/>
          <w:szCs w:val="32"/>
        </w:rPr>
        <w:t>评价卫生健康政策、健康教育效果；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楷体_GB2312" w:hAnsi="楷体_GB2312" w:eastAsia="楷体_GB2312" w:cs="楷体_GB2312"/>
          <w:szCs w:val="32"/>
        </w:rPr>
        <w:t>（四）</w:t>
      </w:r>
      <w:r>
        <w:rPr>
          <w:rFonts w:hint="default" w:ascii="Times New Roman" w:hAnsi="Times New Roman" w:cs="Times New Roman"/>
          <w:szCs w:val="32"/>
        </w:rPr>
        <w:t>为制定卫生健康相关政策提供科学依据。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二、监测方法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Cs w:val="32"/>
        </w:rPr>
      </w:pPr>
      <w:r>
        <w:rPr>
          <w:rFonts w:hint="default" w:ascii="楷体_GB2312" w:hAnsi="楷体_GB2312" w:eastAsia="楷体_GB2312" w:cs="楷体_GB2312"/>
          <w:szCs w:val="32"/>
        </w:rPr>
        <w:t>（一）监测对象。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非集体居住的15～69岁城乡常住居民。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常住居民指过去12个月内在当地居住时间累计超过6个月的居民，不考虑是否具有当地户籍，不包括居住在医院、养老院、学校集体宿舍等场所的居民。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（二）监测范围。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1</w:t>
      </w:r>
      <w:r>
        <w:rPr>
          <w:rFonts w:hint="eastAsia" w:ascii="仿宋_GB2312" w:hAnsi="仿宋_GB2312" w:eastAsia="仿宋_GB2312" w:cs="仿宋_GB2312"/>
          <w:szCs w:val="32"/>
        </w:rPr>
        <w:t>.</w:t>
      </w:r>
      <w:r>
        <w:rPr>
          <w:rFonts w:hint="default" w:ascii="Times New Roman" w:hAnsi="Times New Roman" w:cs="Times New Roman"/>
          <w:szCs w:val="32"/>
        </w:rPr>
        <w:t>国家监测点。由国家统一抽取，2020年我省的广州市黄埔区、花都区、汕头市潮阳区等16个县（市、区）作为国家监测点开展监测工作，其中城市点10个，农村点6个，详见表1。</w:t>
      </w:r>
    </w:p>
    <w:p>
      <w:pPr>
        <w:spacing w:before="60" w:beforeLines="25" w:after="60" w:afterLines="25"/>
        <w:jc w:val="center"/>
        <w:rPr>
          <w:rFonts w:hint="default" w:ascii="Times New Roman" w:hAnsi="Times New Roman" w:eastAsia="黑体" w:cs="Times New Roman"/>
          <w:sz w:val="28"/>
          <w:szCs w:val="28"/>
        </w:rPr>
      </w:pPr>
      <w:bookmarkStart w:id="0" w:name="_Hlk35354839"/>
      <w:r>
        <w:rPr>
          <w:rFonts w:hint="default" w:ascii="Times New Roman" w:hAnsi="Times New Roman" w:eastAsia="黑体" w:cs="Times New Roman"/>
          <w:sz w:val="28"/>
          <w:szCs w:val="28"/>
        </w:rPr>
        <w:t>表1  2020年全国健康素养监测广东省监测点名单</w:t>
      </w:r>
    </w:p>
    <w:bookmarkEnd w:id="0"/>
    <w:tbl>
      <w:tblPr>
        <w:tblStyle w:val="2"/>
        <w:tblW w:w="81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698"/>
        <w:gridCol w:w="188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blHeader/>
          <w:jc w:val="center"/>
        </w:trPr>
        <w:tc>
          <w:tcPr>
            <w:tcW w:w="1555" w:type="dxa"/>
            <w:noWrap w:val="0"/>
            <w:vAlign w:val="center"/>
          </w:tcPr>
          <w:p>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市</w:t>
            </w:r>
          </w:p>
        </w:tc>
        <w:tc>
          <w:tcPr>
            <w:tcW w:w="2698" w:type="dxa"/>
            <w:noWrap w:val="0"/>
            <w:vAlign w:val="center"/>
          </w:tcPr>
          <w:p>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区县</w:t>
            </w:r>
          </w:p>
        </w:tc>
        <w:tc>
          <w:tcPr>
            <w:tcW w:w="1881" w:type="dxa"/>
            <w:noWrap w:val="0"/>
            <w:vAlign w:val="center"/>
          </w:tcPr>
          <w:p>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监测点代码</w:t>
            </w:r>
          </w:p>
        </w:tc>
        <w:tc>
          <w:tcPr>
            <w:tcW w:w="1977" w:type="dxa"/>
            <w:noWrap w:val="0"/>
            <w:vAlign w:val="center"/>
          </w:tcPr>
          <w:p>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监测点性质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restart"/>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广州市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黄埔区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207</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continue"/>
            <w:noWrap w:val="0"/>
            <w:vAlign w:val="center"/>
          </w:tcPr>
          <w:p>
            <w:pPr>
              <w:jc w:val="center"/>
              <w:rPr>
                <w:rFonts w:hint="default" w:ascii="Times New Roman" w:hAnsi="Times New Roman" w:cs="Times New Roman"/>
                <w:kern w:val="0"/>
                <w:sz w:val="28"/>
                <w:szCs w:val="28"/>
              </w:rPr>
            </w:pP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花都区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208</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汕头市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潮阳区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209</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restart"/>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江门市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蓬江区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210</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continue"/>
            <w:noWrap w:val="0"/>
            <w:vAlign w:val="center"/>
          </w:tcPr>
          <w:p>
            <w:pPr>
              <w:jc w:val="center"/>
              <w:rPr>
                <w:rFonts w:hint="default" w:ascii="Times New Roman" w:hAnsi="Times New Roman" w:cs="Times New Roman"/>
                <w:kern w:val="0"/>
                <w:sz w:val="28"/>
                <w:szCs w:val="28"/>
              </w:rPr>
            </w:pP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江海区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211</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continue"/>
            <w:noWrap w:val="0"/>
            <w:vAlign w:val="center"/>
          </w:tcPr>
          <w:p>
            <w:pPr>
              <w:jc w:val="center"/>
              <w:rPr>
                <w:rFonts w:hint="default" w:ascii="Times New Roman" w:hAnsi="Times New Roman" w:cs="Times New Roman"/>
                <w:kern w:val="0"/>
                <w:sz w:val="28"/>
                <w:szCs w:val="28"/>
              </w:rPr>
            </w:pP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台山市</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212</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restart"/>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湛江市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霞山区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213</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continue"/>
            <w:noWrap w:val="0"/>
            <w:vAlign w:val="center"/>
          </w:tcPr>
          <w:p>
            <w:pPr>
              <w:jc w:val="center"/>
              <w:rPr>
                <w:rFonts w:hint="default" w:ascii="Times New Roman" w:hAnsi="Times New Roman" w:cs="Times New Roman"/>
                <w:kern w:val="0"/>
                <w:sz w:val="28"/>
                <w:szCs w:val="28"/>
              </w:rPr>
            </w:pP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吴川市</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214</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restart"/>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肇庆市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端州区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215</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vMerge w:val="continue"/>
            <w:noWrap w:val="0"/>
            <w:vAlign w:val="center"/>
          </w:tcPr>
          <w:p>
            <w:pPr>
              <w:jc w:val="center"/>
              <w:rPr>
                <w:rFonts w:hint="default" w:ascii="Times New Roman" w:hAnsi="Times New Roman" w:cs="Times New Roman"/>
                <w:kern w:val="0"/>
                <w:sz w:val="28"/>
                <w:szCs w:val="28"/>
              </w:rPr>
            </w:pP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高要市（高要区）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216</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惠州市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惠城区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217</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汕尾市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海丰县</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218</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河源市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源城区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219</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阳江市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江城区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220</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城市点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清远市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清新县（清新区）</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221</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555"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揭阳市</w:t>
            </w:r>
          </w:p>
        </w:tc>
        <w:tc>
          <w:tcPr>
            <w:tcW w:w="2698"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普宁市</w:t>
            </w:r>
          </w:p>
        </w:tc>
        <w:tc>
          <w:tcPr>
            <w:tcW w:w="1881"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222</w:t>
            </w:r>
          </w:p>
        </w:tc>
        <w:tc>
          <w:tcPr>
            <w:tcW w:w="1977" w:type="dxa"/>
            <w:noWrap w:val="0"/>
            <w:vAlign w:val="center"/>
          </w:tcPr>
          <w:p>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农村点</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w:t>
      </w:r>
      <w:r>
        <w:rPr>
          <w:rFonts w:hint="default" w:ascii="仿宋_GB2312" w:hAnsi="仿宋_GB2312" w:eastAsia="仿宋_GB2312" w:cs="仿宋_GB2312"/>
          <w:szCs w:val="32"/>
        </w:rPr>
        <w:t>.</w:t>
      </w:r>
      <w:bookmarkStart w:id="1" w:name="_Hlk35417516"/>
      <w:r>
        <w:rPr>
          <w:rFonts w:hint="default" w:ascii="Times New Roman" w:hAnsi="Times New Roman" w:cs="Times New Roman"/>
          <w:szCs w:val="32"/>
        </w:rPr>
        <w:t>地市级监测。</w:t>
      </w:r>
      <w:bookmarkEnd w:id="1"/>
      <w:r>
        <w:rPr>
          <w:rFonts w:hint="default" w:ascii="Times New Roman" w:hAnsi="Times New Roman" w:cs="Times New Roman"/>
          <w:szCs w:val="32"/>
        </w:rPr>
        <w:t>各地级市开展具有本地代表性健康素养监测工作，监测工作方案、实施流程、质量控制等需及时</w:t>
      </w:r>
      <w:r>
        <w:rPr>
          <w:rFonts w:hint="default" w:ascii="Times New Roman" w:hAnsi="Times New Roman" w:cs="Times New Roman"/>
          <w:szCs w:val="32"/>
          <w:lang w:eastAsia="zh-CN"/>
        </w:rPr>
        <w:t>报送</w:t>
      </w:r>
      <w:r>
        <w:rPr>
          <w:rFonts w:hint="default" w:ascii="Times New Roman" w:hAnsi="Times New Roman" w:cs="Times New Roman"/>
          <w:szCs w:val="32"/>
        </w:rPr>
        <w:t>至省级，并与省级专业机构保持沟通联系。</w:t>
      </w:r>
      <w:r>
        <w:rPr>
          <w:rFonts w:hint="default" w:ascii="Times New Roman" w:hAnsi="Times New Roman" w:cs="Times New Roman"/>
          <w:color w:val="auto"/>
          <w:szCs w:val="32"/>
          <w:lang w:val="en-US" w:eastAsia="zh-CN"/>
        </w:rPr>
        <w:t>省级抽取若干县（市、区）作为全省健康素养监测点的补充，开展全省监测工作，具体事项另行通知。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3</w:t>
      </w:r>
      <w:r>
        <w:rPr>
          <w:rFonts w:hint="default" w:ascii="仿宋_GB2312" w:hAnsi="仿宋_GB2312" w:eastAsia="仿宋_GB2312" w:cs="仿宋_GB2312"/>
          <w:szCs w:val="32"/>
        </w:rPr>
        <w:t>.</w:t>
      </w:r>
      <w:r>
        <w:rPr>
          <w:rFonts w:hint="default" w:ascii="Times New Roman" w:hAnsi="Times New Roman" w:cs="Times New Roman"/>
          <w:szCs w:val="32"/>
        </w:rPr>
        <w:t>健康促进县（市、区）项目点监测。全省各健康促进县（市、区）项目点</w:t>
      </w:r>
      <w:r>
        <w:rPr>
          <w:rFonts w:hint="default" w:ascii="Times New Roman" w:hAnsi="Times New Roman" w:cs="Times New Roman"/>
          <w:szCs w:val="32"/>
          <w:lang w:eastAsia="zh-CN"/>
        </w:rPr>
        <w:t>按照国家对健康促进县（市、区）建设有关要求开展居民健康素养监测工作，具体实施参</w:t>
      </w:r>
      <w:r>
        <w:rPr>
          <w:rFonts w:hint="default" w:ascii="Times New Roman" w:hAnsi="Times New Roman" w:cs="Times New Roman"/>
          <w:szCs w:val="32"/>
        </w:rPr>
        <w:t>照本方案要求执行，相关资料及时报至省级。</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（三）抽样方法。</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szCs w:val="32"/>
        </w:rPr>
      </w:pPr>
      <w:r>
        <w:rPr>
          <w:rFonts w:hint="default" w:ascii="Times New Roman" w:hAnsi="Times New Roman" w:cs="Times New Roman"/>
          <w:szCs w:val="32"/>
        </w:rPr>
        <w:t>1</w:t>
      </w:r>
      <w:r>
        <w:rPr>
          <w:rFonts w:hint="default" w:ascii="仿宋_GB2312" w:hAnsi="仿宋_GB2312" w:eastAsia="仿宋_GB2312" w:cs="仿宋_GB2312"/>
          <w:szCs w:val="32"/>
        </w:rPr>
        <w:t>.</w:t>
      </w:r>
      <w:r>
        <w:rPr>
          <w:rFonts w:hint="default" w:ascii="Times New Roman" w:hAnsi="Times New Roman" w:cs="Times New Roman"/>
          <w:szCs w:val="32"/>
        </w:rPr>
        <w:t>16个国家监测点。采用</w:t>
      </w:r>
      <w:bookmarkStart w:id="2" w:name="_Hlk35418032"/>
      <w:r>
        <w:rPr>
          <w:rFonts w:hint="default" w:ascii="Times New Roman" w:hAnsi="Times New Roman" w:cs="Times New Roman"/>
          <w:szCs w:val="32"/>
        </w:rPr>
        <w:t>分层多阶段、PPS、整群抽样、随机抽样相结合的方法。</w:t>
      </w:r>
      <w:bookmarkEnd w:id="2"/>
      <w:r>
        <w:rPr>
          <w:rFonts w:hint="default" w:ascii="Times New Roman" w:hAnsi="Times New Roman" w:cs="Times New Roman"/>
          <w:szCs w:val="32"/>
        </w:rPr>
        <w:t>每个监测县（市、区）抽取3个街道（乡镇），每个街道（乡镇）抽取2个居委会（村）（按居委会（村）常住人口户数，&lt;750户的进行合并，≥1500户的进行划分片区后，形成新的抽样单位），每个居委会（村）抽取65个家庭户，每户抽取1名15～69岁常住人口作为调查对象，每个片区内完成45份调查为止。每个监测县（市、区）预计调查270人，全省计划调查4320人。抽样步骤详见表2。</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szCs w:val="32"/>
        </w:rPr>
      </w:pPr>
      <w:r>
        <w:rPr>
          <w:rFonts w:hint="default" w:ascii="Times New Roman" w:hAnsi="Times New Roman" w:cs="Times New Roman"/>
          <w:szCs w:val="32"/>
        </w:rPr>
        <w:t>2</w:t>
      </w:r>
      <w:r>
        <w:rPr>
          <w:rFonts w:hint="default" w:ascii="仿宋_GB2312" w:hAnsi="仿宋_GB2312" w:eastAsia="仿宋_GB2312" w:cs="仿宋_GB2312"/>
          <w:szCs w:val="32"/>
        </w:rPr>
        <w:t>.</w:t>
      </w:r>
      <w:r>
        <w:rPr>
          <w:rFonts w:hint="default" w:ascii="Times New Roman" w:hAnsi="Times New Roman" w:cs="Times New Roman"/>
          <w:szCs w:val="32"/>
        </w:rPr>
        <w:t>地市级监测。建议以城乡进行分层，考虑监测点和监测样本具有本地市代表性，采用分层多阶段、PPS、整群抽样、随机抽样相结合的方法。</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szCs w:val="32"/>
        </w:rPr>
      </w:pPr>
      <w:r>
        <w:rPr>
          <w:rFonts w:hint="default" w:ascii="Times New Roman" w:hAnsi="Times New Roman" w:cs="Times New Roman"/>
          <w:szCs w:val="32"/>
        </w:rPr>
        <w:t>3</w:t>
      </w:r>
      <w:r>
        <w:rPr>
          <w:rFonts w:hint="default" w:ascii="仿宋_GB2312" w:hAnsi="仿宋_GB2312" w:eastAsia="仿宋_GB2312" w:cs="仿宋_GB2312"/>
          <w:szCs w:val="32"/>
        </w:rPr>
        <w:t>.</w:t>
      </w:r>
      <w:r>
        <w:rPr>
          <w:rFonts w:hint="default" w:ascii="Times New Roman" w:hAnsi="Times New Roman" w:cs="Times New Roman"/>
          <w:szCs w:val="32"/>
        </w:rPr>
        <w:t>健康促进县（区）健康素养监测。采用分层多阶段、PPS、整群抽样、随机抽样相结合的方法。每个监测县（市、区）抽取3个街道（乡镇），每个街道（乡镇）抽取3个居委会（村）（按居委会（村）常住人口户数，&lt;750户的进行合并，≥1500户的进行划分片区后，形成新的抽样单位），每个居委会（村）抽取75个家庭户，每户抽取1名15～69岁常住人口作为调查对象，每个片区内完成50份调查为止。每个监测县（市、区）预计调查450人。抽样步骤详见表3。</w:t>
      </w:r>
    </w:p>
    <w:p>
      <w:pPr>
        <w:spacing w:before="60" w:beforeLines="25" w:after="60" w:afterLines="25"/>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表2  中国居民健康素养监测抽样步骤</w:t>
      </w:r>
    </w:p>
    <w:tbl>
      <w:tblPr>
        <w:tblStyle w:val="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80"/>
        <w:gridCol w:w="1727"/>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抽样阶段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样本分配</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抽样方法</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第一阶段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抽取336个区（县），其中广东省16个区（县）</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分层PPS法</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第二阶段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每个区抽取3个街道或每个县抽取3个乡镇</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PPS法</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省级收集街道（乡镇）信息并完成抽样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第三阶段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每个街道抽取2个居委会或每个乡镇抽取2个村</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PPS法</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监测点收集居委会（村）信息，报省卫生健康宣传教育中心，省级进行抽样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第四阶段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每个居委会或村抽取65个家庭户</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简单随机抽样</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监测点绘图、列表，省级进行抽样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第五阶段</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每个家庭户随机抽取1人调查，每个居委会（村）内完成45份调查</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KISH表法</w:t>
            </w:r>
          </w:p>
        </w:tc>
        <w:tc>
          <w:tcPr>
            <w:tcW w:w="3111"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260" w:lineRule="exact"/>
              <w:rPr>
                <w:rFonts w:hint="default" w:ascii="Times New Roman" w:hAnsi="Times New Roman" w:cs="Times New Roman"/>
                <w:kern w:val="0"/>
                <w:sz w:val="24"/>
              </w:rPr>
            </w:pPr>
            <w:r>
              <w:rPr>
                <w:rFonts w:hint="default" w:ascii="Times New Roman" w:hAnsi="Times New Roman" w:cs="Times New Roman"/>
                <w:kern w:val="0"/>
                <w:sz w:val="24"/>
              </w:rPr>
              <w:t>省级分配KISH表代码，调查员确定调查对象</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rPr>
      </w:pPr>
    </w:p>
    <w:p>
      <w:pPr>
        <w:spacing w:before="60" w:beforeLines="25" w:after="60" w:afterLines="25"/>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表3  健康促进县（</w:t>
      </w:r>
      <w:r>
        <w:rPr>
          <w:rFonts w:hint="default" w:ascii="Times New Roman" w:hAnsi="Times New Roman" w:eastAsia="黑体" w:cs="Times New Roman"/>
          <w:sz w:val="28"/>
          <w:szCs w:val="28"/>
          <w:lang w:eastAsia="zh-CN"/>
        </w:rPr>
        <w:t>市、</w:t>
      </w:r>
      <w:r>
        <w:rPr>
          <w:rFonts w:hint="default" w:ascii="Times New Roman" w:hAnsi="Times New Roman" w:eastAsia="黑体" w:cs="Times New Roman"/>
          <w:sz w:val="28"/>
          <w:szCs w:val="28"/>
        </w:rPr>
        <w:t>区）健康素监测调查抽样步骤</w:t>
      </w:r>
    </w:p>
    <w:tbl>
      <w:tblPr>
        <w:tblStyle w:val="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95"/>
        <w:gridCol w:w="1560"/>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抽样阶段</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样本分配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抽样方法</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第一阶段</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每个区抽取3个街道或每个县抽取3个乡镇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PPS法</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县（</w:t>
            </w:r>
            <w:r>
              <w:rPr>
                <w:rFonts w:hint="default" w:ascii="Times New Roman" w:hAnsi="Times New Roman" w:cs="Times New Roman"/>
                <w:kern w:val="0"/>
                <w:sz w:val="24"/>
                <w:lang w:eastAsia="zh-CN"/>
              </w:rPr>
              <w:t>市、</w:t>
            </w:r>
            <w:r>
              <w:rPr>
                <w:rFonts w:hint="default" w:ascii="Times New Roman" w:hAnsi="Times New Roman" w:cs="Times New Roman"/>
                <w:kern w:val="0"/>
                <w:sz w:val="24"/>
              </w:rPr>
              <w:t>区）收集街道（乡镇）信息并完成抽样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第二阶段</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每个街道抽取3个居委会或每个乡镇抽取3个村</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PPS法</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监测点收集居（村）委会信息，</w:t>
            </w:r>
            <w:r>
              <w:rPr>
                <w:rFonts w:hint="default" w:ascii="Times New Roman" w:hAnsi="Times New Roman" w:cs="Times New Roman"/>
                <w:kern w:val="0"/>
                <w:sz w:val="24"/>
                <w:lang w:eastAsia="zh-CN"/>
              </w:rPr>
              <w:t>报</w:t>
            </w:r>
            <w:r>
              <w:rPr>
                <w:rFonts w:hint="default" w:ascii="Times New Roman" w:hAnsi="Times New Roman" w:cs="Times New Roman"/>
                <w:kern w:val="0"/>
                <w:sz w:val="24"/>
              </w:rPr>
              <w:t>县（</w:t>
            </w:r>
            <w:r>
              <w:rPr>
                <w:rFonts w:hint="default" w:ascii="Times New Roman" w:hAnsi="Times New Roman" w:cs="Times New Roman"/>
                <w:kern w:val="0"/>
                <w:sz w:val="24"/>
                <w:lang w:eastAsia="zh-CN"/>
              </w:rPr>
              <w:t>市、</w:t>
            </w:r>
            <w:r>
              <w:rPr>
                <w:rFonts w:hint="default" w:ascii="Times New Roman" w:hAnsi="Times New Roman" w:cs="Times New Roman"/>
                <w:kern w:val="0"/>
                <w:sz w:val="24"/>
              </w:rPr>
              <w:t>区）进行抽样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第三阶段</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每个居委会或村抽取75个家庭户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简单随机抽样</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监测点绘图、列表，县（</w:t>
            </w:r>
            <w:r>
              <w:rPr>
                <w:rFonts w:hint="default" w:ascii="Times New Roman" w:hAnsi="Times New Roman" w:cs="Times New Roman"/>
                <w:kern w:val="0"/>
                <w:sz w:val="24"/>
                <w:lang w:eastAsia="zh-CN"/>
              </w:rPr>
              <w:t>市、</w:t>
            </w:r>
            <w:r>
              <w:rPr>
                <w:rFonts w:hint="default" w:ascii="Times New Roman" w:hAnsi="Times New Roman" w:cs="Times New Roman"/>
                <w:kern w:val="0"/>
                <w:sz w:val="24"/>
              </w:rPr>
              <w:t>区）进行抽样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第四阶段</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每个家庭户随机抽取1人调查，每个居委会（村）内完成50份调查</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KISH表法</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420" w:lineRule="exact"/>
              <w:rPr>
                <w:rFonts w:hint="default" w:ascii="Times New Roman" w:hAnsi="Times New Roman" w:cs="Times New Roman"/>
                <w:kern w:val="0"/>
                <w:sz w:val="24"/>
              </w:rPr>
            </w:pPr>
            <w:r>
              <w:rPr>
                <w:rFonts w:hint="default" w:ascii="Times New Roman" w:hAnsi="Times New Roman" w:cs="Times New Roman"/>
                <w:kern w:val="0"/>
                <w:sz w:val="24"/>
              </w:rPr>
              <w:t>县（</w:t>
            </w:r>
            <w:r>
              <w:rPr>
                <w:rFonts w:hint="default" w:ascii="Times New Roman" w:hAnsi="Times New Roman" w:cs="Times New Roman"/>
                <w:kern w:val="0"/>
                <w:sz w:val="24"/>
                <w:lang w:eastAsia="zh-CN"/>
              </w:rPr>
              <w:t>市、</w:t>
            </w:r>
            <w:r>
              <w:rPr>
                <w:rFonts w:hint="default" w:ascii="Times New Roman" w:hAnsi="Times New Roman" w:cs="Times New Roman"/>
                <w:kern w:val="0"/>
                <w:sz w:val="24"/>
              </w:rPr>
              <w:t>区）分配KISH表代码，调查员确定调查对象</w:t>
            </w:r>
          </w:p>
        </w:tc>
      </w:tr>
    </w:tbl>
    <w:p>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40" w:firstLineChars="200"/>
        <w:jc w:val="left"/>
        <w:textAlignment w:val="auto"/>
        <w:rPr>
          <w:rFonts w:hint="default" w:ascii="Times New Roman" w:hAnsi="Times New Roman" w:eastAsia="楷体_GB2312"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40" w:firstLineChars="200"/>
        <w:jc w:val="left"/>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（四）监测内容。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采用问卷调查的方式了解监测对象的健康素养水平，主要内容包括基本健康知识和理念、健康生活方式与行为、基本技能3个方面，以及成人吸烟情况、体育锻炼情况等。</w:t>
      </w:r>
    </w:p>
    <w:p>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（五）现场调查。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用入户调查方式，问卷由调查对象自填完成，如调查对象不能独立完成填写，则采用面对面询问方式调查。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各监测点成立现场调查工作组，确定负责人、协调员、调查员、质控员及数据管理员，明确工作职责。通过收集抽样信息的过程与被调查对象建立联系，取得其同意和配合。准备调查所需用品，印刷调查方案和问卷，打印调查对象名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16个国家监测点现场调查完成后，将平板电脑调查结果及时上传，并将相关表格资料统一报送至省卫生健康宣传教育中心。省卫生健康宣传教育中心收集、整理监测点上报数据，报省卫生健康委审核盖章后，提交至中国健康教育中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（六）国家监测点报送材料清单。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材料清单见表4，具体表格将由省卫生健康宣传教育中心发给项目相关地市健康教育机构。</w:t>
      </w:r>
    </w:p>
    <w:p>
      <w:pPr>
        <w:spacing w:before="60" w:beforeLines="25" w:after="60" w:afterLines="25"/>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表4  国家监测点上报省级材料清单</w:t>
      </w:r>
    </w:p>
    <w:tbl>
      <w:tblPr>
        <w:tblStyle w:val="2"/>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200"/>
        <w:gridCol w:w="223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资料名称</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资料类型</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调查用平板电脑及调查数据</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连同配件、外壳等寄回，数据上传调查系统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调查完成情况登记表</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纸质和excel电子版</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填报单位盖章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完成情况上报表及汇总表</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纸质和word电子版</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市级或县级卫生计生行政部门盖章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地市级质控复核调查表</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纸质</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地市级盖章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健康素养监测项目工作总结</w:t>
            </w:r>
          </w:p>
        </w:tc>
        <w:tc>
          <w:tcPr>
            <w:tcW w:w="223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电子版</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cs="Times New Roman"/>
                <w:kern w:val="0"/>
                <w:sz w:val="24"/>
              </w:rPr>
            </w:pPr>
            <w:r>
              <w:rPr>
                <w:rFonts w:hint="default" w:ascii="Times New Roman" w:hAnsi="Times New Roman" w:cs="Times New Roman"/>
                <w:kern w:val="0"/>
                <w:sz w:val="24"/>
              </w:rPr>
              <w:t>2020年10月提交</w:t>
            </w: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三、质量控制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（一）调查前质量控制。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现场调查要严格遵循指定抽样方法完成逐级抽样，直至抽取调查对象。国家级完成省级师资培训，省级负责培训国家监测点的市级及监测点工作人员，培训使用统一监测方案和操作手册。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（二）调查阶段质量控制。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严格按照监测实施方案开展现场调查。充分取得当地有关机构、调查对象的配合。使用统一的调查问卷进行调查。原则上由调查对象根据自己的理解作答，自行完成调查问卷，调查员不做任何解释。调查对象如有读、写等困难，不能独立完成调查问卷者，则由调查员来询问，根据调查对象的回答情况，调查员帮助填写选项。调查员不能使用诱导性或暗示性语言，如遇被调查人文化水平较低或存在语言障碍时，可作适当解释，但解释要忠于原意。调查员要当场核对问卷，质控人员对当天所有问卷进行复核，并填写质控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国家级在每个省（区、市）随机抽取1个国家监测点进行复核，省级对本省所有国家监测点进行复核。复核方法为：每个监测点抽取15份调查问卷，采用《复核调查表》以现场复核和/或电话复核的方式进行复核调查。监测点不合格问卷比例超过3份，则视为该监测点现场调查工作不合格，必须重新进行调查。地市级参照上述复核方法，对本辖区内每个监测居委会（村）抽取5份调查问卷进复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（三）数据处理分析阶段质量控制。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国家级工作人员使用数据分析软件对国家监测点数据进行清理和逻辑校验，对不合格问卷予以剔除。对不合格问卷较多的监测点予以重点核查。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四、组织实施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（一）省级。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省卫生健康委负责全省居民健康素养监测工作的组织实施，制定印发监测方案，对全省监测工作进行监督指导。省卫生健康宣传教育中心为监测工作提供技术支持，培训调查员和项目工作人员，进行质量控制，收集、审核并上报监测数据，对全省数据进行汇总、分析，撰写调查报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（二）地市级、县级。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各级卫生健康行政部门健康促进主管科（处）室负责辖区内项目组织实施和监督管理工作，按照项目要求，制定本地区监测项目实施方案，成立监测工作组，配合省级项目组做好抽样工作，组织开展现场入户调查，加强统筹协调和监督管理，按时保质完成项目工作。各级健康教育专业机构是项目实施的主要技术支持单位，负责协助卫生健康行政部门制定项目方案，进行人员培训与技术指导，组织实施现场调查，负责现场调查质量控制，收集、整理并上报相关数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五、国家监测点进度安排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2020年4月：完成省级培训。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2020年5~7月：完成绘图列表、家庭户抽取。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2020年7~9月：组织调查员培训。各监测点开展现场调查，16个国家监测点于9月30日前将相关资料提交至省卫生健康宣传教育中心。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2020年10月：各地提交监测工作总结。</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以上安排</w:t>
      </w:r>
      <w:r>
        <w:rPr>
          <w:rFonts w:hint="default" w:ascii="Times New Roman" w:hAnsi="Times New Roman" w:cs="Times New Roman"/>
          <w:szCs w:val="32"/>
          <w:lang w:val="en-US" w:eastAsia="zh-CN"/>
        </w:rPr>
        <w:t>根据我</w:t>
      </w:r>
      <w:r>
        <w:rPr>
          <w:rFonts w:hint="default" w:ascii="Times New Roman" w:hAnsi="Times New Roman" w:cs="Times New Roman"/>
          <w:szCs w:val="32"/>
        </w:rPr>
        <w:t>省新冠</w:t>
      </w:r>
      <w:r>
        <w:rPr>
          <w:rFonts w:hint="default" w:ascii="Times New Roman" w:hAnsi="Times New Roman" w:cs="Times New Roman"/>
          <w:szCs w:val="32"/>
          <w:lang w:val="en-US" w:eastAsia="zh-CN"/>
        </w:rPr>
        <w:t>肺炎疫情形势适时</w:t>
      </w:r>
      <w:r>
        <w:rPr>
          <w:rFonts w:hint="default" w:ascii="Times New Roman" w:hAnsi="Times New Roman" w:cs="Times New Roman"/>
          <w:szCs w:val="32"/>
        </w:rPr>
        <w:t>调整。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六、联系人及联系方式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省卫生健康委宣传处：赵杰，电话：020-83828262，邮箱：</w:t>
      </w:r>
      <w:r>
        <w:rPr>
          <w:rFonts w:hint="default" w:ascii="Times New Roman" w:hAnsi="Times New Roman" w:cs="Times New Roman"/>
          <w:kern w:val="0"/>
          <w:szCs w:val="32"/>
          <w:lang w:val="en-US" w:eastAsia="zh-CN"/>
        </w:rPr>
        <w:t>wsjkw_xcc</w:t>
      </w:r>
      <w:r>
        <w:rPr>
          <w:rFonts w:hint="default" w:ascii="Times New Roman" w:hAnsi="Times New Roman" w:cs="Times New Roman"/>
          <w:kern w:val="0"/>
          <w:szCs w:val="32"/>
        </w:rPr>
        <w:t>@</w:t>
      </w:r>
      <w:r>
        <w:rPr>
          <w:rFonts w:hint="default" w:ascii="Times New Roman" w:hAnsi="Times New Roman" w:cs="Times New Roman"/>
          <w:kern w:val="0"/>
          <w:szCs w:val="32"/>
          <w:lang w:val="en-US" w:eastAsia="zh-CN"/>
        </w:rPr>
        <w:t>gd.gov.cn</w:t>
      </w:r>
      <w:r>
        <w:rPr>
          <w:rFonts w:hint="default" w:ascii="Times New Roman" w:hAnsi="Times New Roman" w:cs="Times New Roman"/>
          <w:kern w:val="0"/>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省卫生健康宣传教育中心监测评估科：叶少英、邹明镜，电话：020-89030224，邮箱：</w:t>
      </w:r>
      <w:r>
        <w:rPr>
          <w:rFonts w:hint="default" w:ascii="Times New Roman" w:hAnsi="Times New Roman" w:cs="Times New Roman"/>
          <w:kern w:val="0"/>
          <w:szCs w:val="32"/>
          <w:lang w:val="en-US" w:eastAsia="zh-CN"/>
        </w:rPr>
        <w:t>wsjkw_xcc</w:t>
      </w:r>
      <w:r>
        <w:rPr>
          <w:rFonts w:hint="default" w:ascii="Times New Roman" w:hAnsi="Times New Roman" w:cs="Times New Roman"/>
          <w:kern w:val="0"/>
          <w:szCs w:val="32"/>
        </w:rPr>
        <w:t>@</w:t>
      </w:r>
      <w:r>
        <w:rPr>
          <w:rFonts w:hint="default" w:ascii="Times New Roman" w:hAnsi="Times New Roman" w:cs="Times New Roman"/>
          <w:kern w:val="0"/>
          <w:szCs w:val="32"/>
          <w:lang w:val="en-US" w:eastAsia="zh-CN"/>
        </w:rPr>
        <w:t>gd.gov.cn</w:t>
      </w:r>
      <w:r>
        <w:rPr>
          <w:rFonts w:hint="default" w:ascii="Times New Roman" w:hAnsi="Times New Roman" w:cs="Times New Roman"/>
          <w:szCs w:val="32"/>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C2326"/>
    <w:rsid w:val="45CA5A85"/>
    <w:rsid w:val="7D3C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2020-04-26T07:52:00Z</dcterms:created>
  <dc:creator>Administrator</dc:creator>
  <cp:lastModifiedBy>Administrator</cp:lastModifiedBy>
  <dcterms:modified xsi:type="dcterms:W3CDTF">2020-04-26T07:52:41Z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