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附件4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32"/>
        </w:rPr>
      </w:pPr>
      <w:bookmarkStart w:id="2" w:name="_GoBack"/>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2020年健康促进县（市、区）建设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广东省工作方案</w:t>
      </w:r>
    </w:p>
    <w:bookmarkEnd w:id="2"/>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2017年以来，我省健康促进县（市、区）建设由试点转为全面推开，各地在建设工作中探索总结了一些有效做法和典型经验，项目点县（市、区）居民健康素养水平稳步提升。为进一步推进我省健康促进县（市、区）建设，推动落实“将健康融入所有政策”，倡导健康优先、健康教育先行理念，探索建立工作模式和长效机制，持续提高居民健康素养水平，结合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pacing w:val="-2"/>
          <w:szCs w:val="32"/>
        </w:rPr>
      </w:pPr>
      <w:r>
        <w:rPr>
          <w:rFonts w:hint="default" w:ascii="Times New Roman" w:hAnsi="Times New Roman" w:eastAsia="黑体" w:cs="Times New Roman"/>
          <w:spacing w:val="-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eastAsia" w:ascii="楷体_GB2312" w:hAnsi="楷体_GB2312" w:eastAsia="楷体_GB2312" w:cs="楷体_GB2312"/>
          <w:szCs w:val="32"/>
        </w:rPr>
        <w:t>（一）</w:t>
      </w:r>
      <w:r>
        <w:rPr>
          <w:rFonts w:hint="default" w:ascii="Times New Roman" w:hAnsi="Times New Roman" w:cs="Times New Roman"/>
          <w:szCs w:val="32"/>
        </w:rPr>
        <w:t>到2020年底，各地市省级健康促进县（市、区）建设比例达到本地市</w:t>
      </w:r>
      <w:r>
        <w:rPr>
          <w:rFonts w:hint="default" w:ascii="Times New Roman" w:hAnsi="Times New Roman" w:cs="Times New Roman"/>
          <w:kern w:val="0"/>
          <w:szCs w:val="32"/>
        </w:rPr>
        <w:t>县（市、区）总数的</w:t>
      </w:r>
      <w:r>
        <w:rPr>
          <w:rFonts w:hint="default" w:ascii="Times New Roman" w:hAnsi="Times New Roman" w:cs="Times New Roman"/>
          <w:szCs w:val="32"/>
        </w:rPr>
        <w:t>20%，县（市、区）内各类健康细胞场所达到相关比例要求。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楷体_GB2312" w:hAnsi="楷体_GB2312" w:eastAsia="楷体_GB2312" w:cs="楷体_GB2312"/>
          <w:szCs w:val="32"/>
        </w:rPr>
        <w:t>（二）</w:t>
      </w:r>
      <w:r>
        <w:rPr>
          <w:rFonts w:hint="default" w:ascii="Times New Roman" w:hAnsi="Times New Roman" w:cs="Times New Roman"/>
          <w:szCs w:val="32"/>
        </w:rPr>
        <w:t>健康促进县（市、区）居民健康素养水平在2019年的基础上提高20%，或高于当年全省平均水平。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pacing w:val="-2"/>
          <w:szCs w:val="32"/>
        </w:rPr>
      </w:pPr>
      <w:r>
        <w:rPr>
          <w:rFonts w:hint="default" w:ascii="楷体_GB2312" w:hAnsi="楷体_GB2312" w:eastAsia="楷体_GB2312" w:cs="楷体_GB2312"/>
          <w:szCs w:val="32"/>
        </w:rPr>
        <w:t>（三）</w:t>
      </w:r>
      <w:r>
        <w:rPr>
          <w:rFonts w:hint="default" w:ascii="Times New Roman" w:hAnsi="Times New Roman" w:cs="Times New Roman"/>
          <w:szCs w:val="32"/>
        </w:rPr>
        <w:t>健康促进县（市、区）15岁以上人群吸烟率在2019</w:t>
      </w:r>
      <w:r>
        <w:rPr>
          <w:rFonts w:hint="default" w:ascii="Times New Roman" w:hAnsi="Times New Roman" w:cs="Times New Roman"/>
          <w:spacing w:val="-2"/>
          <w:szCs w:val="32"/>
        </w:rPr>
        <w:t>年的基础上降低20%，或低于当年全省平均水平。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pacing w:val="-2"/>
          <w:szCs w:val="32"/>
        </w:rPr>
      </w:pPr>
      <w:r>
        <w:rPr>
          <w:rFonts w:hint="default" w:ascii="Times New Roman" w:hAnsi="Times New Roman" w:eastAsia="黑体" w:cs="Times New Roman"/>
          <w:spacing w:val="-2"/>
          <w:szCs w:val="32"/>
        </w:rPr>
        <w:t>二、工作要求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pacing w:val="-2"/>
          <w:szCs w:val="32"/>
        </w:rPr>
      </w:pPr>
      <w:r>
        <w:rPr>
          <w:rFonts w:hint="default" w:ascii="楷体_GB2312" w:hAnsi="楷体_GB2312" w:eastAsia="楷体_GB2312" w:cs="楷体_GB2312"/>
          <w:szCs w:val="32"/>
        </w:rPr>
        <w:t>（一）基线调查和终末评估。</w:t>
      </w:r>
      <w:r>
        <w:rPr>
          <w:rFonts w:hint="default" w:ascii="Times New Roman" w:hAnsi="Times New Roman" w:cs="Times New Roman"/>
          <w:szCs w:val="32"/>
        </w:rPr>
        <w:t>为进一步规范</w:t>
      </w:r>
      <w:r>
        <w:rPr>
          <w:rFonts w:hint="default" w:ascii="Times New Roman" w:hAnsi="Times New Roman" w:cs="Times New Roman"/>
          <w:spacing w:val="-2"/>
          <w:szCs w:val="32"/>
        </w:rPr>
        <w:t>工作标准，优化调查评估流程</w:t>
      </w:r>
      <w:r>
        <w:rPr>
          <w:rFonts w:hint="default" w:ascii="Times New Roman" w:hAnsi="Times New Roman" w:cs="Times New Roman"/>
          <w:szCs w:val="32"/>
        </w:rPr>
        <w:t>，2020年健康促进县（市、区）的基线调查和终末评估调查，与居民健康素养监测相整合，调查对象、调查内容、抽样方法等均按照中国居民健康素养监测广东省工作方案要求执行</w:t>
      </w:r>
      <w:r>
        <w:rPr>
          <w:rFonts w:hint="default" w:ascii="Times New Roman" w:hAnsi="Times New Roman" w:cs="Times New Roman"/>
          <w:szCs w:val="32"/>
          <w:lang w:eastAsia="zh-CN"/>
        </w:rPr>
        <w:t>（</w:t>
      </w:r>
      <w:r>
        <w:rPr>
          <w:rFonts w:hint="default" w:ascii="Times New Roman" w:hAnsi="Times New Roman" w:cs="Times New Roman"/>
          <w:szCs w:val="32"/>
        </w:rPr>
        <w:t>详见附件6</w:t>
      </w:r>
      <w:r>
        <w:rPr>
          <w:rFonts w:hint="default" w:ascii="Times New Roman" w:hAnsi="Times New Roman" w:cs="Times New Roman"/>
          <w:szCs w:val="32"/>
          <w:lang w:eastAsia="zh-CN"/>
        </w:rPr>
        <w:t>）</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楷体_GB2312" w:hAnsi="楷体_GB2312" w:eastAsia="楷体_GB2312" w:cs="楷体_GB2312"/>
          <w:szCs w:val="32"/>
        </w:rPr>
        <w:t>（二）建设周期。</w:t>
      </w:r>
      <w:r>
        <w:rPr>
          <w:rFonts w:hint="default" w:ascii="Times New Roman" w:hAnsi="Times New Roman" w:cs="Times New Roman"/>
          <w:szCs w:val="32"/>
        </w:rPr>
        <w:t>为确保各县（市、区）高质量完成建设任务，2020年申报省级技术评估的，原则上建设周期不少于两年。</w:t>
      </w:r>
      <w:r>
        <w:rPr>
          <w:rFonts w:hint="default" w:ascii="Times New Roman" w:hAnsi="Times New Roman" w:eastAsia="仿宋_GB2312" w:cs="Times New Roman"/>
          <w:sz w:val="32"/>
          <w:szCs w:val="32"/>
        </w:rPr>
        <w:t>2020年广东省健康促进县（市、区）项目点名单</w:t>
      </w:r>
      <w:r>
        <w:rPr>
          <w:rFonts w:hint="default" w:ascii="Times New Roman" w:hAnsi="Times New Roman" w:cs="Times New Roman"/>
          <w:szCs w:val="32"/>
        </w:rPr>
        <w:t>信息见附表。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pacing w:val="-2"/>
          <w:szCs w:val="32"/>
        </w:rPr>
      </w:pPr>
      <w:r>
        <w:rPr>
          <w:rFonts w:hint="default" w:ascii="Times New Roman" w:hAnsi="Times New Roman" w:eastAsia="黑体" w:cs="Times New Roman"/>
          <w:spacing w:val="-2"/>
          <w:szCs w:val="32"/>
        </w:rPr>
        <w:t>三、重点任务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Cs w:val="32"/>
        </w:rPr>
      </w:pPr>
      <w:r>
        <w:rPr>
          <w:rFonts w:hint="default" w:ascii="楷体_GB2312" w:hAnsi="楷体_GB2312" w:eastAsia="楷体_GB2312" w:cs="楷体_GB2312"/>
          <w:szCs w:val="32"/>
        </w:rPr>
        <w:t>（一）健康促进工作机制。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县（市、区）政府公开承诺开展健康促进县（市、区）工作，将健康促进县（市、区）建设纳入政府重点工作。建立县（市、区）政府主要负责人牵头、多部门参与的健康促进领导协调机制，部门职责明确。定期召开协调会议，通报工作进展。将健康促进县（市、区）工作纳入当地政府预算给予支持，并根据经济发展和财政增长情况逐年增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建立覆盖政府有关组成部门、乡镇/街道、学校、机关、企业的健康促进工作网络。每单位专（兼）职人员承担健康促进与健康教育工作。县（市、区）级设置健康教育专业机构，配套健康教育专业机构人员。建立以健康教育专业机构为核心、覆盖辖区内所有医院、公共卫生机构、计划生育服务机构、基层医疗卫生机构的健康促进专业网络。每单位有专职人员承担健康促进与健康教育工作。通过系统培训，提高政府、有关部门、专业机构对健康促进试点县（市、区）的认识和工作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制定工作方案。以基线调查为依据，结合健康促进县（市、区）评价标准，研究制定适合当地经济社会发展和卫生健康工作能力的健康促进策略和措施，制定具体的工作计划，明确责任部门和完成时限。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开展培训。采取多种形式，提高政府、有关部门、专业机构对健康促进试点县（市、区）的认识，提高健康促进工作能力。针对政府、部门和健康促进网络人员，通过工作会议、专题讲座、研讨会等形式，提高对健康促进县（市、区）理念、健康融入所有政策方针的认识，提高其发挥部门优势促进居民健康的能力。针对卫生健康部门和健康促进与教育专业人员，采取逐级培训、案例分析、模拟演练等方式，提高各级健康促进主管部门和专业机构对健康促进县（市、区）理念、方法和建设内容的理解，掌握健康教育理论和方法，熟悉健康素养、烟草控制、优生优育等基本内容，掌握健康教育计划制定和实施、健康传播材料设计制作、健康讲座和健康咨询、社区诊断和现场调查等基本专业技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spacing w:val="-2"/>
          <w:szCs w:val="32"/>
        </w:rPr>
      </w:pPr>
      <w:r>
        <w:rPr>
          <w:rFonts w:hint="default" w:ascii="Times New Roman" w:hAnsi="Times New Roman" w:cs="Times New Roman"/>
          <w:spacing w:val="-2"/>
          <w:szCs w:val="32"/>
        </w:rPr>
        <w:t>建立督导检查、考核评估的工作机制，定期了解各项工作进展，听取政府各部门和居民的工作建议。定期监测项目组织实施情况，开展项目技术评估。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（二）制定健康政策。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落实“将健康融入所有政策”方针。卫生健康部门主动向各级党政领导和部门负责人宣讲“将健康融入所有政策”的概念和意义。建立公共政策健康影响评价制度，成立健康专家委员会，在新政策制订时增加健康影响评价程序，在提出、起草、修订、发布等政策制定环节中，征求健康专家委员会的意见。制定促进健康的公共政策。相关部门和乡镇（街道）梳理本部门与健康相关的公共政策，补充、修订或新制定促进健康的公共政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针对当地需要优先应对的健康问题，开展针对慢性病防控、传染病防控、健康生活方式、妇幼健康、健康老龄、环境与健康等重点健康问题的跨部门健康行动。在多部门协作、资源统筹、社会动员、健康管理、健康产业等方面取得创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（三）建设健康促进场所。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 xml:space="preserve">建立健康促进场所建设工作机制，在辖区范围内全面开展健康促进社区/健康村、健康家庭、健康促进医院、健康促进学校、健康促进机关和健康促进企业建设。建设20%健康社区/健康村，建设20%健康家庭，评选出100个示范健康家庭。建设40%健康促进医院（包括综合医院、专科医院、基层医疗卫生机构、计划生育技术服务机构等），建设50%健康促进学校（包括高中、初中、小学）、50%的健康促进机关（包括机关和事业单位）、20%的健康促进企业，提高场所内居民和职工的健康素养，发挥健康促进场所的示范和辐射作用。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建设促进健康的公共环境。建设健康步道、健康主题公园等公共设施，所有室内公共场所、工作场所和公共交通工具全面禁止吸烟，营造促进健康的公共环境。无烟环境是健康促进医院、学校、机关和企业建设的必要前提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（四）建设健康文化。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加强媒体合作。在本地电视台、广播电台和报纸开设健康教育类专题节目或栏目并加强监管，定期组织媒体培训会或媒体交流会，充分利用电视、报纸、广播等媒体平台，积极宣传健康促进县（市、区）理念、试点工作以及活动成效，营造良好的舆论氛围，提高社会影响力。设立健康类微博、微信等新媒体平台，开展健康科普。开展卫生日主题活动，在世界卫生日、无烟日、高血压日、糖尿病日、结核病日、艾滋病日等卫生日时段内，多部门联合、深入城乡开展健康主题活动，普及健康知识，提高群众参与程度，增强宣传教育效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以国家基本公共卫生服务健康教育项目、健康素养促进行动、国民营养计划等为重要抓手，充分整合卫生健康系统健康促进与教育资源，利用好健康中国行、农民健康促进行动、全民健康生活方式、婚育新风进万家、卫生应急“五进”活动等平台，加强健康传播，普及健康素养基本知识和技能，促进健康生活方式形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（五）建设健康环境。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城乡布局合理，推进污水处理、垃圾无害化处理、公共厕所建设，建设整洁卫生的生活环境，空气、饮用水、食品安全、环境卫生等影响因素有所改善或达到一定水平，保障居民在教育、住房、就业、安全等方面的基本需求，不断提高人民群众生活水平。建立公平可持续的社会保障制度，积极应对老龄化。健全社会救助体系。建设整洁有序、健康宜居的工作、生活和社会环境。建设无烟环境，所有室内公共场所、工作场所和公共交通工具全面禁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根据当地居民健康素养水平和薄弱环节，制定健康素养促进工作规划或计划，开展有针对性的综合干预，提高居民健康素养水平，提高重点人群、重点问题的健康素养。定期开展居民健康素养调查</w:t>
      </w:r>
      <w:bookmarkStart w:id="0" w:name="OLE_LINK1"/>
      <w:bookmarkStart w:id="1" w:name="OLE_LINK2"/>
      <w:r>
        <w:rPr>
          <w:rFonts w:hint="default" w:ascii="Times New Roman" w:hAnsi="Times New Roman" w:cs="Times New Roman"/>
          <w:spacing w:val="-2"/>
          <w:szCs w:val="32"/>
        </w:rPr>
        <w:t>。经过建设，居民的健康素养水平、吸烟情况、参加体育锻炼情况等影响居民健康状况的指标有所改善，学生体质达到教育部《国家学生体质健康标准》有关标准。</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pacing w:val="-2"/>
          <w:szCs w:val="32"/>
        </w:rPr>
      </w:pPr>
      <w:r>
        <w:rPr>
          <w:rFonts w:hint="default" w:ascii="Times New Roman" w:hAnsi="Times New Roman" w:eastAsia="黑体" w:cs="Times New Roman"/>
          <w:spacing w:val="-2"/>
          <w:szCs w:val="32"/>
        </w:rPr>
        <w:t>四、组织管理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（一）省级。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省卫生健康委宣传处负责项目的组织实施和管理，统筹协调确定项目县（市、区），组建专家组，加强管理和监督指导，组织省内监督指导，及时总结好的做法和经验。省卫生健康宣传教育中心配合省卫生健康委宣传处实施项目，提供技术支持，指导项目地区开展综合干预和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（二）地市级。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地市级卫生健康行政部门负责协调本市健康促进县（市、区）的申报建设、组织实施和管理，地市级健康教育专业机构配合地市级卫生健康行政部门实施项目，做好业务指导、技术评估等工作，协助各县（市、区）完成基线调查和终末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（三）县（市、区）级。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县（市、区）政府负责本地区建设工作的组织实施和管理，县（市、区）卫生健康行政部门和健康教育专业机构具体负责各项任务的组织实施，按时提交相关资料，接受国家、省和市三级的监督指导和技术评估。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pacing w:val="-2"/>
          <w:szCs w:val="32"/>
        </w:rPr>
      </w:pPr>
      <w:r>
        <w:rPr>
          <w:rFonts w:hint="default" w:ascii="Times New Roman" w:hAnsi="Times New Roman" w:eastAsia="黑体" w:cs="Times New Roman"/>
          <w:spacing w:val="-2"/>
          <w:szCs w:val="32"/>
        </w:rPr>
        <w:t>五、工作流程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（一）省级健康促进县（市、区）建设。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1</w:t>
      </w:r>
      <w:r>
        <w:rPr>
          <w:rFonts w:hint="eastAsia" w:ascii="仿宋_GB2312" w:hAnsi="仿宋_GB2312" w:eastAsia="仿宋_GB2312" w:cs="仿宋_GB2312"/>
          <w:spacing w:val="-2"/>
          <w:szCs w:val="32"/>
        </w:rPr>
        <w:t>.</w:t>
      </w:r>
      <w:r>
        <w:rPr>
          <w:rFonts w:hint="default" w:ascii="Times New Roman" w:hAnsi="Times New Roman" w:cs="Times New Roman"/>
          <w:spacing w:val="-2"/>
          <w:szCs w:val="32"/>
        </w:rPr>
        <w:t>申请和确认。</w:t>
      </w:r>
      <w:r>
        <w:rPr>
          <w:rFonts w:hint="default" w:ascii="Times New Roman" w:hAnsi="Times New Roman" w:cs="Times New Roman"/>
          <w:spacing w:val="-2"/>
          <w:szCs w:val="32"/>
          <w:lang w:val="en-US" w:eastAsia="zh-CN"/>
        </w:rPr>
        <w:t>各</w:t>
      </w:r>
      <w:r>
        <w:rPr>
          <w:rFonts w:hint="default" w:ascii="Times New Roman" w:hAnsi="Times New Roman" w:cs="Times New Roman"/>
          <w:spacing w:val="-2"/>
          <w:szCs w:val="32"/>
        </w:rPr>
        <w:t>县</w:t>
      </w:r>
      <w:r>
        <w:rPr>
          <w:rFonts w:hint="default" w:ascii="Times New Roman" w:hAnsi="Times New Roman" w:cs="Times New Roman"/>
          <w:spacing w:val="-2"/>
          <w:szCs w:val="32"/>
          <w:lang w:eastAsia="zh-CN"/>
        </w:rPr>
        <w:t>（</w:t>
      </w:r>
      <w:r>
        <w:rPr>
          <w:rFonts w:hint="default" w:ascii="Times New Roman" w:hAnsi="Times New Roman" w:cs="Times New Roman"/>
          <w:spacing w:val="-2"/>
          <w:szCs w:val="32"/>
          <w:lang w:val="en-US" w:eastAsia="zh-CN"/>
        </w:rPr>
        <w:t>市、区）</w:t>
      </w:r>
      <w:r>
        <w:rPr>
          <w:rFonts w:hint="default" w:ascii="Times New Roman" w:hAnsi="Times New Roman" w:cs="Times New Roman"/>
          <w:spacing w:val="-2"/>
          <w:szCs w:val="32"/>
        </w:rPr>
        <w:t>逐级向所在</w:t>
      </w:r>
      <w:r>
        <w:rPr>
          <w:rFonts w:hint="default" w:ascii="Times New Roman" w:hAnsi="Times New Roman" w:cs="Times New Roman"/>
          <w:spacing w:val="-2"/>
          <w:szCs w:val="32"/>
          <w:lang w:val="en-US" w:eastAsia="zh-CN"/>
        </w:rPr>
        <w:t>地</w:t>
      </w:r>
      <w:r>
        <w:rPr>
          <w:rFonts w:hint="default" w:ascii="Times New Roman" w:hAnsi="Times New Roman" w:cs="Times New Roman"/>
          <w:spacing w:val="-2"/>
          <w:szCs w:val="32"/>
        </w:rPr>
        <w:t>市级和省级卫生健康行政部门提出省级健康促进县（区）申请。省卫生健康委审核后确定省级健康促进县（</w:t>
      </w:r>
      <w:r>
        <w:rPr>
          <w:rFonts w:hint="default" w:ascii="Times New Roman" w:hAnsi="Times New Roman" w:cs="Times New Roman"/>
          <w:spacing w:val="-2"/>
          <w:szCs w:val="32"/>
          <w:lang w:val="en-US" w:eastAsia="zh-CN"/>
        </w:rPr>
        <w:t>市、</w:t>
      </w:r>
      <w:r>
        <w:rPr>
          <w:rFonts w:hint="default" w:ascii="Times New Roman" w:hAnsi="Times New Roman" w:cs="Times New Roman"/>
          <w:spacing w:val="-2"/>
          <w:szCs w:val="32"/>
        </w:rPr>
        <w:t>区）范围。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2</w:t>
      </w:r>
      <w:r>
        <w:rPr>
          <w:rFonts w:hint="default" w:ascii="仿宋_GB2312" w:hAnsi="仿宋_GB2312" w:eastAsia="仿宋_GB2312" w:cs="仿宋_GB2312"/>
          <w:spacing w:val="-2"/>
          <w:szCs w:val="32"/>
        </w:rPr>
        <w:t>.</w:t>
      </w:r>
      <w:r>
        <w:rPr>
          <w:rFonts w:hint="default" w:ascii="Times New Roman" w:hAnsi="Times New Roman" w:cs="Times New Roman"/>
          <w:spacing w:val="-2"/>
          <w:szCs w:val="32"/>
        </w:rPr>
        <w:t>开展省级健康促进县（市、区）建设。开展基线调查，确定重点人群和优先干预的健康问题。研究制定适合当地经济社会发展和卫生健康工作能力的工作计划，明确责任部门和完成时限。开展培训，提高政府、有关部门、专业机构健康促进工作能力。按照当地建设方案，有序推进各项建设任务，保存过程记录。各级卫生健康行政部门和专业机构及时组织工作督导和技术指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3</w:t>
      </w:r>
      <w:r>
        <w:rPr>
          <w:rFonts w:hint="default" w:ascii="仿宋_GB2312" w:hAnsi="仿宋_GB2312" w:eastAsia="仿宋_GB2312" w:cs="仿宋_GB2312"/>
          <w:spacing w:val="-2"/>
          <w:szCs w:val="32"/>
        </w:rPr>
        <w:t>.</w:t>
      </w:r>
      <w:r>
        <w:rPr>
          <w:rFonts w:hint="default" w:ascii="Times New Roman" w:hAnsi="Times New Roman" w:cs="Times New Roman"/>
          <w:spacing w:val="-2"/>
          <w:szCs w:val="32"/>
        </w:rPr>
        <w:t>市级自评。各地市卫生健康行政部门于2020年8月31日前完成健康促进县（市、区）的市级技术评估，符合条件申报省级技术评估的，将有关资料和评估结果</w:t>
      </w:r>
      <w:r>
        <w:rPr>
          <w:rFonts w:hint="default" w:ascii="Times New Roman" w:hAnsi="Times New Roman" w:cs="Times New Roman"/>
          <w:spacing w:val="-2"/>
          <w:szCs w:val="32"/>
          <w:lang w:val="en-US" w:eastAsia="zh-CN"/>
        </w:rPr>
        <w:t>报送</w:t>
      </w:r>
      <w:r>
        <w:rPr>
          <w:rFonts w:hint="default" w:ascii="Times New Roman" w:hAnsi="Times New Roman" w:cs="Times New Roman"/>
          <w:spacing w:val="-2"/>
          <w:szCs w:val="32"/>
        </w:rPr>
        <w:t>至省卫生健康委和省卫生健康宣传教育中心。市级技术评估工作任务及要求按照《广东省健康促进县（市、区）评估指南》执行。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4</w:t>
      </w:r>
      <w:r>
        <w:rPr>
          <w:rFonts w:hint="default" w:ascii="仿宋_GB2312" w:hAnsi="仿宋_GB2312" w:eastAsia="仿宋_GB2312" w:cs="仿宋_GB2312"/>
          <w:spacing w:val="-2"/>
          <w:szCs w:val="32"/>
        </w:rPr>
        <w:t>.</w:t>
      </w:r>
      <w:r>
        <w:rPr>
          <w:rFonts w:hint="default" w:ascii="Times New Roman" w:hAnsi="Times New Roman" w:cs="Times New Roman"/>
          <w:spacing w:val="-2"/>
          <w:szCs w:val="32"/>
        </w:rPr>
        <w:t>省级评估。省卫生健康委根据各地市报送材料</w:t>
      </w:r>
      <w:r>
        <w:rPr>
          <w:rFonts w:hint="default" w:ascii="Times New Roman" w:hAnsi="Times New Roman" w:cs="Times New Roman"/>
          <w:spacing w:val="-2"/>
          <w:szCs w:val="32"/>
          <w:lang w:val="en-US" w:eastAsia="zh-CN"/>
        </w:rPr>
        <w:t>情况</w:t>
      </w:r>
      <w:r>
        <w:rPr>
          <w:rFonts w:hint="default" w:ascii="Times New Roman" w:hAnsi="Times New Roman" w:cs="Times New Roman"/>
          <w:spacing w:val="-2"/>
          <w:szCs w:val="32"/>
        </w:rPr>
        <w:t>，确定</w:t>
      </w:r>
      <w:r>
        <w:rPr>
          <w:rFonts w:hint="default" w:ascii="Times New Roman" w:hAnsi="Times New Roman" w:cs="Times New Roman"/>
          <w:spacing w:val="-2"/>
          <w:szCs w:val="32"/>
          <w:lang w:val="en-US" w:eastAsia="zh-CN"/>
        </w:rPr>
        <w:t>年度</w:t>
      </w:r>
      <w:r>
        <w:rPr>
          <w:rFonts w:hint="default" w:ascii="Times New Roman" w:hAnsi="Times New Roman" w:cs="Times New Roman"/>
          <w:spacing w:val="-2"/>
          <w:szCs w:val="32"/>
        </w:rPr>
        <w:t>省级技术评估的县（市、区），于2020年12月15日前组织专家组，</w:t>
      </w:r>
      <w:r>
        <w:rPr>
          <w:rFonts w:hint="default" w:ascii="Times New Roman" w:hAnsi="Times New Roman" w:cs="Times New Roman"/>
          <w:spacing w:val="-2"/>
          <w:szCs w:val="32"/>
          <w:lang w:val="en-US" w:eastAsia="zh-CN"/>
        </w:rPr>
        <w:t>开展评估</w:t>
      </w:r>
      <w:r>
        <w:rPr>
          <w:rFonts w:hint="default" w:ascii="Times New Roman" w:hAnsi="Times New Roman" w:cs="Times New Roman"/>
          <w:spacing w:val="-2"/>
          <w:szCs w:val="32"/>
        </w:rPr>
        <w:t>工作，具体评估方案另行发文。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pacing w:val="-2"/>
          <w:szCs w:val="32"/>
        </w:rPr>
      </w:pPr>
      <w:r>
        <w:rPr>
          <w:rFonts w:hint="default" w:ascii="Times New Roman" w:hAnsi="Times New Roman" w:eastAsia="楷体_GB2312" w:cs="Times New Roman"/>
          <w:spacing w:val="-2"/>
          <w:szCs w:val="32"/>
        </w:rPr>
        <w:t>（二）国家级健康促进县（市、区）建设。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省卫生健康委根据各县（市、区）建设情况和技术评估结果，确定国家级健康促进县（市、区）项目点，具体实施方案根据国家卫生健康委宣传司评估文件另行发文。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pacing w:val="-2"/>
          <w:szCs w:val="32"/>
        </w:rPr>
      </w:pPr>
      <w:r>
        <w:rPr>
          <w:rFonts w:hint="default" w:ascii="Times New Roman" w:hAnsi="Times New Roman" w:eastAsia="黑体" w:cs="Times New Roman"/>
          <w:spacing w:val="-2"/>
          <w:szCs w:val="32"/>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省卫生健康委宣传处联系人：赵杰，电话：020-83828262，邮箱：</w:t>
      </w:r>
      <w:r>
        <w:rPr>
          <w:rFonts w:hint="default" w:ascii="Times New Roman" w:hAnsi="Times New Roman" w:cs="Times New Roman"/>
          <w:spacing w:val="-2"/>
          <w:szCs w:val="32"/>
          <w:lang w:val="en-US" w:eastAsia="zh-CN"/>
        </w:rPr>
        <w:t>wsjkw_</w:t>
      </w:r>
      <w:r>
        <w:rPr>
          <w:rFonts w:hint="default" w:ascii="Times New Roman" w:hAnsi="Times New Roman" w:cs="Times New Roman"/>
          <w:spacing w:val="-2"/>
          <w:szCs w:val="32"/>
        </w:rPr>
        <w:t>xcc@</w:t>
      </w:r>
      <w:r>
        <w:rPr>
          <w:rFonts w:hint="default" w:ascii="Times New Roman" w:hAnsi="Times New Roman" w:cs="Times New Roman"/>
          <w:spacing w:val="-2"/>
          <w:szCs w:val="32"/>
          <w:lang w:val="en-US" w:eastAsia="zh-CN"/>
        </w:rPr>
        <w:t>gd.gov.cn</w:t>
      </w:r>
      <w:r>
        <w:rPr>
          <w:rFonts w:hint="default" w:ascii="Times New Roman" w:hAnsi="Times New Roman" w:cs="Times New Roman"/>
          <w:spacing w:val="-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pacing w:val="-2"/>
          <w:szCs w:val="32"/>
        </w:rPr>
      </w:pPr>
      <w:r>
        <w:rPr>
          <w:rFonts w:hint="default" w:ascii="Times New Roman" w:hAnsi="Times New Roman" w:cs="Times New Roman"/>
          <w:spacing w:val="-2"/>
          <w:szCs w:val="32"/>
        </w:rPr>
        <w:t>省卫生健康宣传教育中心联系人：王冰娜、杨帆，电话：020-87022990、87029121，邮箱：</w:t>
      </w:r>
      <w:r>
        <w:rPr>
          <w:rFonts w:hint="default" w:ascii="Times New Roman" w:hAnsi="Times New Roman" w:eastAsia="仿宋_GB2312" w:cs="Times New Roman"/>
          <w:spacing w:val="-2"/>
          <w:sz w:val="32"/>
          <w:szCs w:val="32"/>
        </w:rPr>
        <w:t>wsjkw_xcc</w:t>
      </w:r>
      <w:r>
        <w:rPr>
          <w:rFonts w:hint="default" w:ascii="Times New Roman" w:hAnsi="Times New Roman" w:eastAsia="仿宋_GB2312" w:cs="Times New Roman"/>
          <w:spacing w:val="-2"/>
          <w:kern w:val="2"/>
          <w:sz w:val="32"/>
          <w:szCs w:val="32"/>
        </w:rPr>
        <w:t>@gd.gov.cn</w:t>
      </w:r>
      <w:r>
        <w:rPr>
          <w:rFonts w:hint="default" w:ascii="Times New Roman" w:hAnsi="Times New Roman" w:cs="Times New Roman"/>
          <w:spacing w:val="-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Cs w:val="32"/>
        </w:rPr>
      </w:pPr>
      <w:r>
        <w:rPr>
          <w:rFonts w:hint="default" w:ascii="Times New Roman" w:hAnsi="Times New Roman" w:cs="Times New Roman"/>
          <w:kern w:val="0"/>
          <w:szCs w:val="32"/>
        </w:rPr>
        <w:br w:type="page"/>
      </w:r>
      <w:r>
        <w:rPr>
          <w:rFonts w:hint="default" w:ascii="Times New Roman" w:hAnsi="Times New Roman" w:eastAsia="黑体" w:cs="Times New Roman"/>
          <w:kern w:val="0"/>
          <w:szCs w:val="32"/>
        </w:rPr>
        <w:t>附表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2020年广东省健康促进县（市、区）项目点名单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p>
    <w:tbl>
      <w:tblPr>
        <w:tblStyle w:val="2"/>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36"/>
        <w:gridCol w:w="2551"/>
        <w:gridCol w:w="156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blHeader/>
          <w:jc w:val="center"/>
        </w:trPr>
        <w:tc>
          <w:tcPr>
            <w:tcW w:w="1124" w:type="dxa"/>
            <w:noWrap w:val="0"/>
            <w:vAlign w:val="center"/>
          </w:tcPr>
          <w:p>
            <w:pPr>
              <w:spacing w:beforeLines="0" w:afterLines="0" w:line="4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编号</w:t>
            </w:r>
          </w:p>
        </w:tc>
        <w:tc>
          <w:tcPr>
            <w:tcW w:w="1536" w:type="dxa"/>
            <w:noWrap w:val="0"/>
            <w:vAlign w:val="center"/>
          </w:tcPr>
          <w:p>
            <w:pPr>
              <w:spacing w:beforeLines="0" w:afterLines="0" w:line="4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地市</w:t>
            </w:r>
          </w:p>
        </w:tc>
        <w:tc>
          <w:tcPr>
            <w:tcW w:w="2551" w:type="dxa"/>
            <w:noWrap w:val="0"/>
            <w:vAlign w:val="center"/>
          </w:tcPr>
          <w:p>
            <w:pPr>
              <w:spacing w:beforeLines="0" w:afterLines="0" w:line="4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县（市、区）</w:t>
            </w:r>
          </w:p>
        </w:tc>
        <w:tc>
          <w:tcPr>
            <w:tcW w:w="1560" w:type="dxa"/>
            <w:noWrap w:val="0"/>
            <w:vAlign w:val="center"/>
          </w:tcPr>
          <w:p>
            <w:pPr>
              <w:spacing w:beforeLines="0" w:afterLines="0" w:line="4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申报年度</w:t>
            </w:r>
          </w:p>
        </w:tc>
        <w:tc>
          <w:tcPr>
            <w:tcW w:w="1769" w:type="dxa"/>
            <w:noWrap w:val="0"/>
            <w:vAlign w:val="center"/>
          </w:tcPr>
          <w:p>
            <w:pPr>
              <w:spacing w:beforeLines="0" w:afterLines="0" w:line="4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市级评估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海珠区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荔湾区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天河区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花都区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番禺区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增城区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深圳市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盐田区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珠海市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香洲区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珠海市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金湾区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10</w:t>
            </w:r>
          </w:p>
        </w:tc>
        <w:tc>
          <w:tcPr>
            <w:tcW w:w="1536"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珠海市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斗门区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1536"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珠海市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高栏港经济区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12</w:t>
            </w:r>
          </w:p>
        </w:tc>
        <w:tc>
          <w:tcPr>
            <w:tcW w:w="1536"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珠海市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高新区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13</w:t>
            </w:r>
          </w:p>
        </w:tc>
        <w:tc>
          <w:tcPr>
            <w:tcW w:w="1536"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珠海市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横琴新区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珠海市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万山区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汕头市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濠江区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16</w:t>
            </w:r>
          </w:p>
        </w:tc>
        <w:tc>
          <w:tcPr>
            <w:tcW w:w="1536" w:type="dxa"/>
            <w:noWrap w:val="0"/>
            <w:vAlign w:val="center"/>
          </w:tcPr>
          <w:p>
            <w:pPr>
              <w:spacing w:beforeLines="0" w:afterLines="0" w:line="46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汕头市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南澳县</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17</w:t>
            </w:r>
          </w:p>
        </w:tc>
        <w:tc>
          <w:tcPr>
            <w:tcW w:w="1536" w:type="dxa"/>
            <w:noWrap w:val="0"/>
            <w:vAlign w:val="center"/>
          </w:tcPr>
          <w:p>
            <w:pPr>
              <w:spacing w:beforeLines="0" w:afterLines="0" w:line="46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佛山市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禅城区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佛山市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南海区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19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佛山市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高明区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佛山市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三水区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韶关市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南雄市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韶关市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仁化县</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河源市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龙川县</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梅州市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梅县区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梅州市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蕉岭县</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惠州市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惠阳区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27</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惠州市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惠东县</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汕尾市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市城区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长安镇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30</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凤岗镇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东城镇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塘厦镇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虎门镇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樟木头镇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清溪镇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南城街道</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37</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黄江镇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常平镇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39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厚街镇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40</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石碣镇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大朗镇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大岭山镇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莞城街道</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桥头镇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万江镇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茶山镇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47</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横沥镇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高</w:t>
            </w:r>
            <w:r>
              <w:rPr>
                <w:rFonts w:hint="default" w:ascii="Times New Roman" w:hAnsi="Times New Roman" w:eastAsia="微软雅黑" w:cs="Times New Roman"/>
                <w:sz w:val="28"/>
                <w:szCs w:val="28"/>
              </w:rPr>
              <w:t>埗</w:t>
            </w:r>
            <w:r>
              <w:rPr>
                <w:rFonts w:hint="default" w:ascii="Times New Roman" w:hAnsi="Times New Roman" w:cs="Times New Roman"/>
                <w:sz w:val="28"/>
                <w:szCs w:val="28"/>
              </w:rPr>
              <w:t>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49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沙田镇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50</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谢岗镇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中堂镇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东坑镇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石排镇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道</w:t>
            </w:r>
            <w:r>
              <w:rPr>
                <w:rFonts w:hint="default" w:ascii="Times New Roman" w:hAnsi="Times New Roman" w:eastAsia="微软雅黑" w:cs="Times New Roman"/>
                <w:sz w:val="28"/>
                <w:szCs w:val="28"/>
              </w:rPr>
              <w:t>滘</w:t>
            </w:r>
            <w:r>
              <w:rPr>
                <w:rFonts w:hint="default" w:ascii="Times New Roman" w:hAnsi="Times New Roman" w:cs="Times New Roman"/>
                <w:sz w:val="28"/>
                <w:szCs w:val="28"/>
              </w:rPr>
              <w:t>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麻涌镇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企石镇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57</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洪梅镇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望牛墩镇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59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松山湖高新技术</w:t>
            </w:r>
          </w:p>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产业开发区</w:t>
            </w:r>
          </w:p>
        </w:tc>
        <w:tc>
          <w:tcPr>
            <w:tcW w:w="1560"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60</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石歧街道</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东区街道</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火炬开发区街道</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黄圃镇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东凤镇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小榄镇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中山市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三乡镇</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江门市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江海区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江门市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台山市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69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江门市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开平市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70</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江门市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恩平市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阳江市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阳东区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湛江市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霞山区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湛江市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雷州市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湛江市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廉江市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湛江市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吴川市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湛江市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遂溪县</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77</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茂名市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茂南区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78</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茂名市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电白区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79</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茂名市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信宜市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80</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茂名市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高州市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81</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茂名市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化州市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82</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肇庆市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端州区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83</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清远市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英德市</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84</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潮州市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湘桥区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2018</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85</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潮州市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潮安区</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待评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124"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86</w:t>
            </w:r>
          </w:p>
        </w:tc>
        <w:tc>
          <w:tcPr>
            <w:tcW w:w="1536"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云浮市</w:t>
            </w:r>
          </w:p>
        </w:tc>
        <w:tc>
          <w:tcPr>
            <w:tcW w:w="2551"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新兴县</w:t>
            </w:r>
          </w:p>
        </w:tc>
        <w:tc>
          <w:tcPr>
            <w:tcW w:w="1560" w:type="dxa"/>
            <w:noWrap w:val="0"/>
            <w:vAlign w:val="top"/>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2017</w:t>
            </w:r>
          </w:p>
        </w:tc>
        <w:tc>
          <w:tcPr>
            <w:tcW w:w="1769" w:type="dxa"/>
            <w:noWrap w:val="0"/>
            <w:vAlign w:val="center"/>
          </w:tcPr>
          <w:p>
            <w:pPr>
              <w:spacing w:beforeLines="0" w:afterLines="0" w:line="46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w:t>
            </w:r>
          </w:p>
        </w:tc>
      </w:tr>
    </w:tbl>
    <w:p>
      <w:r>
        <w:rPr>
          <w:rFonts w:hint="default" w:ascii="Times New Roman" w:hAnsi="Times New Roman" w:cs="Times New Roman"/>
          <w:sz w:val="28"/>
          <w:szCs w:val="28"/>
        </w:rPr>
        <w:t>注：本表所列县（市、区）包括2017-2018年度申报创建尚未通过省级技术评估的项目点和2019年度新申报的项目点。</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41DE7"/>
    <w:rsid w:val="31C41DE7"/>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2020-04-26T07:51:00Z</dcterms:created>
  <dc:creator>Administrator</dc:creator>
  <cp:lastModifiedBy>Administrator</cp:lastModifiedBy>
  <dcterms:modified xsi:type="dcterms:W3CDTF">2020-04-26T07:51:30Z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