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ind w:firstLine="0" w:firstLineChars="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bookmarkStart w:id="0" w:name="_GoBack"/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right="0" w:rightChars="0" w:firstLine="200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right="0" w:rightChars="0" w:firstLine="20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住院医师规范化培训骨干师资培训内容与要求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right="0" w:rightChars="0" w:firstLine="20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4493"/>
        <w:gridCol w:w="1843"/>
        <w:gridCol w:w="992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tblHeader/>
          <w:jc w:val="center"/>
        </w:trPr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4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right="0" w:rightChars="0" w:firstLine="560" w:firstLineChars="20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  <w:t>培训内容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  <w:t>培训方式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right="0" w:rightChars="0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  <w:t>学时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right="0" w:rightChars="0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tblHeader/>
          <w:jc w:val="center"/>
        </w:trPr>
        <w:tc>
          <w:tcPr>
            <w:tcW w:w="93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right="0" w:rightChars="0" w:firstLine="30" w:firstLineChars="11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  <w:t>一、集中培训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tblHeader/>
          <w:jc w:val="center"/>
        </w:trPr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4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临床教学能力（教学理论、常用的教育理论与教学原理，教学方法在临床教学活动中的应用，专业培训课程体系的设计）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理论+工作坊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right="0" w:rightChars="0" w:firstLine="56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tblHeader/>
          <w:jc w:val="center"/>
        </w:trPr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4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教学考评能力（各种评估方法与工具的设计与运用，过程考核实践经验与结业考核模式介绍）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讲授+视频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tblHeader/>
          <w:jc w:val="center"/>
        </w:trPr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4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组织管理能力（培训基地-专业基地管理体系建设、住培师资队伍建设、教学主任岗位职责与合理时间安排、培训质量监管与提升、进阶式培训模式介绍、住院医师管理与组织建设）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讲授+演示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tblHeader/>
          <w:jc w:val="center"/>
        </w:trPr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4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教学研究能力（教学主任的教学学术能力、教学研究的思路和方法、教学管理创新思路、教学实践经验提炼、带领骨干师资参与教学研究）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right="0" w:rightChars="0" w:firstLine="560" w:firstLineChars="2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讲授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tblHeader/>
          <w:jc w:val="center"/>
        </w:trPr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4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right="0" w:rightChars="0" w:firstLine="56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现场观摩学习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right="0" w:rightChars="0" w:firstLine="56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right="0" w:rightChars="0" w:firstLine="56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tblHeader/>
          <w:jc w:val="center"/>
        </w:trPr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4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right="0" w:rightChars="0" w:firstLine="56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考核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right="0" w:rightChars="0" w:firstLine="56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right="0" w:rightChars="0" w:firstLine="56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tblHeader/>
          <w:jc w:val="center"/>
        </w:trPr>
        <w:tc>
          <w:tcPr>
            <w:tcW w:w="7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right="0" w:rightChars="0" w:firstLine="56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小计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32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right="0" w:rightChars="0" w:firstLine="56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tblHeader/>
          <w:jc w:val="center"/>
        </w:trPr>
        <w:tc>
          <w:tcPr>
            <w:tcW w:w="93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  <w:t>二、网络学习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tblHeader/>
          <w:jc w:val="center"/>
        </w:trPr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right="0" w:rightChars="0" w:firstLine="30" w:firstLineChars="11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4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right="0" w:rightChars="0" w:firstLine="56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网络自学培训相关课程：临床技能操作视频、教育理论与临床教学规范、教育技术培训课程等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right="0" w:rightChars="0" w:firstLine="56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68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right="0" w:rightChars="0" w:firstLine="56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注：各专业培训实施计划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由省医师协会组织制订后在省住院医师规范化培训信息管理平台上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发布。</w:t>
      </w: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2E0073"/>
    <w:rsid w:val="223B789B"/>
    <w:rsid w:val="232E0073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2020-03-13T03:37:00Z</dcterms:created>
  <dc:creator>华</dc:creator>
  <cp:lastModifiedBy>华</cp:lastModifiedBy>
  <dcterms:modified xsi:type="dcterms:W3CDTF">2020-03-13T03:38:05Z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