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pStyle w:val="3"/>
        <w:keepNext/>
        <w:keepLines w:val="0"/>
        <w:pageBreakBefore w:val="0"/>
        <w:widowControl/>
        <w:kinsoku/>
        <w:wordWrap/>
        <w:overflowPunct/>
        <w:topLinePunct w:val="0"/>
        <w:autoSpaceDE/>
        <w:autoSpaceDN/>
        <w:bidi w:val="0"/>
        <w:adjustRightInd/>
        <w:snapToGrid/>
        <w:spacing w:before="0" w:beforeAutospacing="0" w:after="0" w:afterAutospacing="0" w:line="700" w:lineRule="exact"/>
        <w:ind w:left="0" w:firstLine="0" w:firstLineChars="0"/>
        <w:jc w:val="center"/>
        <w:textAlignment w:val="auto"/>
        <w:outlineLvl w:val="3"/>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 xml:space="preserve"> </w:t>
      </w:r>
      <w:r>
        <w:rPr>
          <w:rFonts w:hint="default" w:ascii="Times New Roman" w:hAnsi="Times New Roman" w:eastAsia="方正小标宋简体" w:cs="Times New Roman"/>
          <w:b w:val="0"/>
          <w:kern w:val="0"/>
          <w:sz w:val="44"/>
          <w:szCs w:val="44"/>
          <w:lang w:eastAsia="zh-CN"/>
        </w:rPr>
        <w:t>儿童福利</w:t>
      </w:r>
      <w:r>
        <w:rPr>
          <w:rFonts w:hint="default" w:ascii="Times New Roman" w:hAnsi="Times New Roman" w:eastAsia="方正小标宋简体" w:cs="Times New Roman"/>
          <w:b w:val="0"/>
          <w:kern w:val="0"/>
          <w:sz w:val="44"/>
          <w:szCs w:val="44"/>
        </w:rPr>
        <w:t>机构新冠肺炎疫情应急预案</w:t>
      </w:r>
    </w:p>
    <w:bookmarkEnd w:id="0"/>
    <w:p>
      <w:pPr>
        <w:pStyle w:val="5"/>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420"/>
        <w:jc w:val="center"/>
        <w:outlineLvl w:val="9"/>
        <w:rPr>
          <w:rFonts w:hint="default" w:ascii="Times New Roman" w:hAnsi="Times New Roman" w:eastAsia="仿宋_GB2312" w:cs="Times New Roman"/>
          <w:b/>
          <w:kern w:val="2"/>
          <w:sz w:val="32"/>
          <w:szCs w:val="32"/>
        </w:rPr>
      </w:pP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儿童福利机构成立主要负责人任领导小组组长的新冠肺炎疫情应急领导小组，下设医疗保障、安全后勤保障、消毒等职能小组，并明确职责分工。</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二、实施应急处置措施</w:t>
      </w:r>
      <w:r>
        <w:rPr>
          <w:rFonts w:hint="default" w:ascii="Times New Roman" w:hAnsi="Times New Roman" w:eastAsia="黑体" w:cs="Times New Roman"/>
          <w:b/>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仿宋_GB2312" w:cs="Times New Roman"/>
          <w:kern w:val="0"/>
          <w:sz w:val="32"/>
          <w:szCs w:val="32"/>
          <w:lang w:val="en-US" w:eastAsia="zh-CN" w:bidi="ar"/>
        </w:rPr>
        <w:t>复工期间如出现确诊病例、疑似病例和无症状感染者时，应启动本预案。</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机构所在社区（村居）的社区卫生服务中心（乡镇卫生院）等医疗机构初步排查后，送辖区定点医院诊治，确诊后立即报告当地疾控中心。</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咐其一旦出现发热、咳嗽等疑似新冠肺炎症状时要及时告知健康管理员，并主动告知近期活动史，做好体温检测，佩戴口罩。</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3.在疾控机构的指导下，按国家和省的消毒指引，做好病例所在宿舍、相关活动区域、电梯的清洁、随时消毒和终末消毒工作。</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做好其他区域的保洁和消毒防疫工作；加强场所的通风换气和空调等公共设施及公共用具的消毒，每日对</w:t>
      </w:r>
      <w:r>
        <w:rPr>
          <w:rFonts w:hint="default" w:ascii="Times New Roman" w:hAnsi="Times New Roman" w:eastAsia="仿宋_GB2312" w:cs="Times New Roman"/>
          <w:b w:val="0"/>
          <w:i w:val="0"/>
          <w:kern w:val="2"/>
          <w:sz w:val="32"/>
          <w:szCs w:val="32"/>
          <w:lang w:val="en-US" w:eastAsia="zh-CN" w:bidi="ar"/>
        </w:rPr>
        <w:t>办公区域、儿童活动室、学习室、食堂、宿舍、卫生间、垃圾厢房、隔离区域等重点场所</w:t>
      </w:r>
      <w:r>
        <w:rPr>
          <w:rFonts w:hint="default" w:ascii="Times New Roman" w:hAnsi="Times New Roman" w:eastAsia="仿宋_GB2312" w:cs="Times New Roman"/>
          <w:kern w:val="0"/>
          <w:sz w:val="32"/>
          <w:szCs w:val="32"/>
          <w:lang w:val="en-US" w:eastAsia="zh-CN" w:bidi="ar"/>
        </w:rPr>
        <w:t>进行消毒；各工作场所和食堂入口要配备含酒精成分的手消毒液，厕所配备洗手液，指导和督促员工做好手卫生。</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4.按照卫生健康行政部门的建议，根据疫情防控需要启动封闭式管理，因地制宜采取宿舍、楼栋封锁等措施，严格限制人员进出，严格控制外来人员、车辆进入。</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机构医务人员要协助当地疾控机构开展流行病学调查、采样、密切接触者筛查等工作。继续做好机构职工的健康监测工作，配合卫生健康行政部门做好集中隔离医学观察人员的健康监测工作。每天保持与单位主要负责人、疾控部门进行信息沟通，及时上报最新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儿童及员工的情绪，避免过度恐慌。</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应立即报告当地疾控中心，由疫情防控专家评估后采取相应管控措施。对发生聚集性疫情的建筑、院落实施硬隔离。</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当病例已得到隔离治疗，密切接触者观察14天期满，后续无新发病例，环境得到有效消毒，经卫生健康部门评估，可由机构疫情应急领导小组决定终止响应。</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32"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5"/>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32" w:firstLineChars="200"/>
        <w:jc w:val="both"/>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kern w:val="2"/>
          <w:sz w:val="32"/>
          <w:szCs w:val="32"/>
          <w:lang w:val="en-US" w:eastAsia="zh-CN" w:bidi="ar"/>
        </w:rPr>
        <w:t>儿童福利机构新冠肺炎疫情应急响应流程图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jc w:val="both"/>
        <w:rPr>
          <w:rFonts w:hint="default" w:ascii="Times New Roman" w:hAnsi="Times New Roman" w:cs="Times New Roman"/>
          <w:lang w:eastAsia="zh-CN"/>
        </w:rPr>
        <w:sectPr>
          <w:footerReference r:id="rId4" w:type="first"/>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r>
        <w:rPr>
          <w:rFonts w:hint="default" w:ascii="Times New Roman" w:hAnsi="Times New Roman" w:eastAsia="黑体" w:cs="Times New Roman"/>
        </w:rPr>
        <w:drawing>
          <wp:anchor distT="0" distB="0" distL="114300" distR="114300" simplePos="0" relativeHeight="251660288" behindDoc="0" locked="0" layoutInCell="1" allowOverlap="1">
            <wp:simplePos x="0" y="0"/>
            <wp:positionH relativeFrom="column">
              <wp:posOffset>294640</wp:posOffset>
            </wp:positionH>
            <wp:positionV relativeFrom="paragraph">
              <wp:posOffset>417830</wp:posOffset>
            </wp:positionV>
            <wp:extent cx="4823460" cy="7513955"/>
            <wp:effectExtent l="0" t="0" r="0" b="1079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823460" cy="7513955"/>
                    </a:xfrm>
                    <a:prstGeom prst="rect">
                      <a:avLst/>
                    </a:prstGeom>
                    <a:noFill/>
                    <a:ln>
                      <a:noFill/>
                    </a:ln>
                  </pic:spPr>
                </pic:pic>
              </a:graphicData>
            </a:graphic>
          </wp:anchor>
        </w:drawing>
      </w:r>
      <w:r>
        <w:rPr>
          <w:rFonts w:hint="default" w:ascii="Times New Roman" w:hAnsi="Times New Roman" w:eastAsia="黑体" w:cs="Times New Roman"/>
          <w:snapToGrid w:val="0"/>
          <w:kern w:val="0"/>
          <w:sz w:val="32"/>
          <w:szCs w:val="32"/>
          <w:lang w:eastAsia="zh-CN"/>
        </w:rPr>
        <w:t>附件</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952AB"/>
    <w:rsid w:val="223B789B"/>
    <w:rsid w:val="2A5952A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2020-03-02T10:15:00Z</dcterms:created>
  <dc:creator>华</dc:creator>
  <cp:lastModifiedBy>华</cp:lastModifiedBy>
  <dcterms:modified xsi:type="dcterms:W3CDTF">2020-03-02T10:16:33Z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