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黑体" w:cs="Times New Roman"/>
          <w:snapToGrid w:val="0"/>
          <w:kern w:val="0"/>
          <w:sz w:val="32"/>
          <w:highlight w:val="none"/>
          <w:lang w:val="en-US" w:eastAsia="zh-CN"/>
        </w:rPr>
      </w:pPr>
      <w:bookmarkStart w:id="0" w:name="_GoBack"/>
      <w:r>
        <w:rPr>
          <w:rFonts w:hint="default" w:ascii="Times New Roman" w:hAnsi="Times New Roman" w:eastAsia="黑体" w:cs="Times New Roman"/>
          <w:snapToGrid w:val="0"/>
          <w:kern w:val="0"/>
          <w:sz w:val="32"/>
          <w:highlight w:val="none"/>
        </w:rPr>
        <w:t>附件</w:t>
      </w:r>
      <w:r>
        <w:rPr>
          <w:rFonts w:hint="default" w:ascii="Times New Roman" w:hAnsi="Times New Roman" w:eastAsia="黑体" w:cs="Times New Roman"/>
          <w:snapToGrid w:val="0"/>
          <w:kern w:val="0"/>
          <w:sz w:val="32"/>
          <w:highlight w:val="none"/>
          <w:lang w:val="en-US" w:eastAsia="zh-CN"/>
        </w:rPr>
        <w:t>1</w:t>
      </w:r>
    </w:p>
    <w:p>
      <w:pPr>
        <w:pStyle w:val="2"/>
        <w:rPr>
          <w:rFonts w:hint="default" w:ascii="Times New Roman" w:hAnsi="Times New Roman" w:cs="Times New Roman"/>
          <w:lang w:val="en-US" w:eastAsia="zh-CN"/>
        </w:rPr>
      </w:pPr>
    </w:p>
    <w:p>
      <w:pPr>
        <w:pStyle w:val="5"/>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baseline"/>
        <w:outlineLvl w:val="9"/>
        <w:rPr>
          <w:rFonts w:hint="default" w:ascii="Times New Roman" w:hAnsi="Times New Roman" w:eastAsia="方正小标宋简体" w:cs="Times New Roman"/>
          <w:snapToGrid w:val="0"/>
          <w:kern w:val="0"/>
          <w:sz w:val="44"/>
          <w:highlight w:val="none"/>
        </w:rPr>
      </w:pPr>
      <w:r>
        <w:rPr>
          <w:rFonts w:hint="default" w:ascii="Times New Roman" w:hAnsi="Times New Roman" w:eastAsia="方正小标宋简体" w:cs="Times New Roman"/>
          <w:snapToGrid w:val="0"/>
          <w:kern w:val="0"/>
          <w:sz w:val="44"/>
          <w:highlight w:val="none"/>
          <w:lang w:eastAsia="zh-CN"/>
        </w:rPr>
        <w:t>厂矿、</w:t>
      </w:r>
      <w:r>
        <w:rPr>
          <w:rFonts w:hint="default" w:ascii="Times New Roman" w:hAnsi="Times New Roman" w:eastAsia="方正小标宋简体" w:cs="Times New Roman"/>
          <w:snapToGrid w:val="0"/>
          <w:kern w:val="0"/>
          <w:sz w:val="44"/>
          <w:highlight w:val="none"/>
          <w:lang w:val="en-US" w:eastAsia="zh-CN"/>
        </w:rPr>
        <w:t>机关、</w:t>
      </w:r>
      <w:r>
        <w:rPr>
          <w:rFonts w:hint="default" w:ascii="Times New Roman" w:hAnsi="Times New Roman" w:eastAsia="方正小标宋简体" w:cs="Times New Roman"/>
          <w:snapToGrid w:val="0"/>
          <w:kern w:val="0"/>
          <w:sz w:val="44"/>
          <w:highlight w:val="none"/>
          <w:lang w:eastAsia="zh-CN"/>
        </w:rPr>
        <w:t>企</w:t>
      </w:r>
      <w:r>
        <w:rPr>
          <w:rFonts w:hint="default" w:ascii="Times New Roman" w:hAnsi="Times New Roman" w:eastAsia="方正小标宋简体" w:cs="Times New Roman"/>
          <w:snapToGrid w:val="0"/>
          <w:kern w:val="0"/>
          <w:sz w:val="44"/>
          <w:highlight w:val="none"/>
          <w:lang w:val="en-US" w:eastAsia="zh-CN"/>
        </w:rPr>
        <w:t>事</w:t>
      </w:r>
      <w:r>
        <w:rPr>
          <w:rFonts w:hint="default" w:ascii="Times New Roman" w:hAnsi="Times New Roman" w:eastAsia="方正小标宋简体" w:cs="Times New Roman"/>
          <w:snapToGrid w:val="0"/>
          <w:kern w:val="0"/>
          <w:sz w:val="44"/>
          <w:highlight w:val="none"/>
          <w:lang w:eastAsia="zh-CN"/>
        </w:rPr>
        <w:t>业</w:t>
      </w:r>
      <w:r>
        <w:rPr>
          <w:rFonts w:hint="default" w:ascii="Times New Roman" w:hAnsi="Times New Roman" w:eastAsia="方正小标宋简体" w:cs="Times New Roman"/>
          <w:snapToGrid w:val="0"/>
          <w:kern w:val="0"/>
          <w:sz w:val="44"/>
          <w:highlight w:val="none"/>
          <w:lang w:val="en-US" w:eastAsia="zh-CN"/>
        </w:rPr>
        <w:t>单位</w:t>
      </w:r>
      <w:r>
        <w:rPr>
          <w:rFonts w:hint="default" w:ascii="Times New Roman" w:hAnsi="Times New Roman" w:eastAsia="方正小标宋简体" w:cs="Times New Roman"/>
          <w:snapToGrid w:val="0"/>
          <w:kern w:val="0"/>
          <w:sz w:val="44"/>
          <w:highlight w:val="none"/>
        </w:rPr>
        <w:t>新冠肺炎</w:t>
      </w:r>
    </w:p>
    <w:p>
      <w:pPr>
        <w:pStyle w:val="5"/>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baseline"/>
        <w:outlineLvl w:val="9"/>
        <w:rPr>
          <w:rFonts w:hint="default" w:ascii="Times New Roman" w:hAnsi="Times New Roman" w:eastAsia="方正小标宋简体" w:cs="Times New Roman"/>
          <w:snapToGrid w:val="0"/>
          <w:kern w:val="0"/>
          <w:sz w:val="44"/>
          <w:highlight w:val="none"/>
        </w:rPr>
      </w:pPr>
      <w:r>
        <w:rPr>
          <w:rFonts w:hint="default" w:ascii="Times New Roman" w:hAnsi="Times New Roman" w:eastAsia="方正小标宋简体" w:cs="Times New Roman"/>
          <w:snapToGrid w:val="0"/>
          <w:kern w:val="0"/>
          <w:sz w:val="44"/>
          <w:highlight w:val="none"/>
        </w:rPr>
        <w:t>疫情</w:t>
      </w:r>
      <w:r>
        <w:rPr>
          <w:rFonts w:hint="default" w:ascii="Times New Roman" w:hAnsi="Times New Roman" w:eastAsia="方正小标宋简体" w:cs="Times New Roman"/>
          <w:snapToGrid w:val="0"/>
          <w:kern w:val="0"/>
          <w:sz w:val="44"/>
          <w:highlight w:val="none"/>
          <w:lang w:eastAsia="zh-CN"/>
        </w:rPr>
        <w:t>防控</w:t>
      </w:r>
      <w:r>
        <w:rPr>
          <w:rFonts w:hint="default" w:ascii="Times New Roman" w:hAnsi="Times New Roman" w:eastAsia="方正小标宋简体" w:cs="Times New Roman"/>
          <w:snapToGrid w:val="0"/>
          <w:kern w:val="0"/>
          <w:sz w:val="44"/>
          <w:highlight w:val="none"/>
        </w:rPr>
        <w:t>应急预案</w:t>
      </w:r>
    </w:p>
    <w:bookmarkEnd w:id="0"/>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仿宋_GB2312" w:cs="Times New Roman"/>
          <w:snapToGrid w:val="0"/>
          <w:kern w:val="0"/>
          <w:sz w:val="32"/>
          <w:highlight w:val="none"/>
        </w:rPr>
      </w:pP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黑体" w:cs="Times New Roman"/>
          <w:snapToGrid w:val="0"/>
          <w:kern w:val="0"/>
          <w:sz w:val="32"/>
          <w:highlight w:val="none"/>
        </w:rPr>
      </w:pPr>
      <w:r>
        <w:rPr>
          <w:rFonts w:hint="default" w:ascii="Times New Roman" w:hAnsi="Times New Roman" w:eastAsia="黑体" w:cs="Times New Roman"/>
          <w:snapToGrid w:val="0"/>
          <w:kern w:val="0"/>
          <w:sz w:val="32"/>
          <w:highlight w:val="none"/>
        </w:rPr>
        <w:t>一、成立疫情应急领导</w:t>
      </w:r>
      <w:r>
        <w:rPr>
          <w:rFonts w:hint="default" w:ascii="Times New Roman" w:hAnsi="Times New Roman" w:eastAsia="黑体" w:cs="Times New Roman"/>
          <w:snapToGrid w:val="0"/>
          <w:kern w:val="0"/>
          <w:sz w:val="32"/>
          <w:highlight w:val="none"/>
          <w:lang w:eastAsia="zh-CN"/>
        </w:rPr>
        <w:t>小组</w:t>
      </w:r>
      <w:r>
        <w:rPr>
          <w:rFonts w:hint="default" w:ascii="Times New Roman" w:hAnsi="Times New Roman" w:eastAsia="黑体" w:cs="Times New Roman"/>
          <w:snapToGrid w:val="0"/>
          <w:kern w:val="0"/>
          <w:sz w:val="32"/>
          <w:highlight w:val="none"/>
        </w:rPr>
        <w:t xml:space="preserve">，建立保障机制 </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lang w:eastAsia="zh-CN"/>
        </w:rPr>
        <w:t>各厂矿、</w:t>
      </w:r>
      <w:r>
        <w:rPr>
          <w:rFonts w:hint="default" w:ascii="Times New Roman" w:hAnsi="Times New Roman" w:eastAsia="仿宋_GB2312" w:cs="Times New Roman"/>
          <w:snapToGrid w:val="0"/>
          <w:kern w:val="0"/>
          <w:sz w:val="32"/>
          <w:highlight w:val="none"/>
          <w:lang w:val="en-US" w:eastAsia="zh-CN"/>
        </w:rPr>
        <w:t>机关、</w:t>
      </w:r>
      <w:r>
        <w:rPr>
          <w:rFonts w:hint="default" w:ascii="Times New Roman" w:hAnsi="Times New Roman" w:eastAsia="仿宋_GB2312" w:cs="Times New Roman"/>
          <w:snapToGrid w:val="0"/>
          <w:kern w:val="0"/>
          <w:sz w:val="32"/>
          <w:highlight w:val="none"/>
          <w:lang w:eastAsia="zh-CN"/>
        </w:rPr>
        <w:t>企</w:t>
      </w:r>
      <w:r>
        <w:rPr>
          <w:rFonts w:hint="default" w:ascii="Times New Roman" w:hAnsi="Times New Roman" w:eastAsia="仿宋_GB2312" w:cs="Times New Roman"/>
          <w:snapToGrid w:val="0"/>
          <w:kern w:val="0"/>
          <w:sz w:val="32"/>
          <w:highlight w:val="none"/>
          <w:lang w:val="en-US" w:eastAsia="zh-CN"/>
        </w:rPr>
        <w:t>事</w:t>
      </w:r>
      <w:r>
        <w:rPr>
          <w:rFonts w:hint="default" w:ascii="Times New Roman" w:hAnsi="Times New Roman" w:eastAsia="仿宋_GB2312" w:cs="Times New Roman"/>
          <w:snapToGrid w:val="0"/>
          <w:kern w:val="0"/>
          <w:sz w:val="32"/>
          <w:highlight w:val="none"/>
          <w:lang w:eastAsia="zh-CN"/>
        </w:rPr>
        <w:t>业</w:t>
      </w:r>
      <w:r>
        <w:rPr>
          <w:rFonts w:hint="default" w:ascii="Times New Roman" w:hAnsi="Times New Roman" w:eastAsia="仿宋_GB2312" w:cs="Times New Roman"/>
          <w:snapToGrid w:val="0"/>
          <w:kern w:val="0"/>
          <w:sz w:val="32"/>
          <w:highlight w:val="none"/>
          <w:lang w:val="en-US" w:eastAsia="zh-CN"/>
        </w:rPr>
        <w:t>单位</w:t>
      </w:r>
      <w:r>
        <w:rPr>
          <w:rFonts w:hint="default" w:ascii="Times New Roman" w:hAnsi="Times New Roman" w:eastAsia="仿宋_GB2312" w:cs="Times New Roman"/>
          <w:snapToGrid w:val="0"/>
          <w:kern w:val="0"/>
          <w:sz w:val="32"/>
          <w:highlight w:val="none"/>
        </w:rPr>
        <w:t>等集体单位成立主要负责人任领导小组组长的新冠肺炎疫情应急领导小组，下设医疗保障、安全后勤保障、消毒组等职能小组，并明确职责分工。</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黑体" w:cs="Times New Roman"/>
          <w:b/>
          <w:snapToGrid w:val="0"/>
          <w:kern w:val="0"/>
          <w:sz w:val="32"/>
          <w:highlight w:val="none"/>
        </w:rPr>
      </w:pPr>
      <w:r>
        <w:rPr>
          <w:rFonts w:hint="default" w:ascii="Times New Roman" w:hAnsi="Times New Roman" w:eastAsia="黑体" w:cs="Times New Roman"/>
          <w:snapToGrid w:val="0"/>
          <w:kern w:val="0"/>
          <w:sz w:val="32"/>
          <w:highlight w:val="none"/>
        </w:rPr>
        <w:t>二、实施应急措施</w:t>
      </w:r>
      <w:r>
        <w:rPr>
          <w:rFonts w:hint="default" w:ascii="Times New Roman" w:hAnsi="Times New Roman" w:eastAsia="黑体" w:cs="Times New Roman"/>
          <w:b/>
          <w:snapToGrid w:val="0"/>
          <w:kern w:val="0"/>
          <w:sz w:val="32"/>
          <w:highlight w:val="none"/>
        </w:rPr>
        <w:t xml:space="preserve"> </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复工复产期间如出现感染病例（含确诊病例、临床诊断病例、疑似病例）和无症状感染者时，应启动</w:t>
      </w:r>
      <w:r>
        <w:rPr>
          <w:rFonts w:hint="default" w:ascii="Times New Roman" w:hAnsi="Times New Roman" w:eastAsia="仿宋_GB2312" w:cs="Times New Roman"/>
          <w:snapToGrid w:val="0"/>
          <w:kern w:val="0"/>
          <w:sz w:val="32"/>
          <w:highlight w:val="none"/>
          <w:lang w:val="en-US" w:eastAsia="zh-CN"/>
        </w:rPr>
        <w:t>本</w:t>
      </w:r>
      <w:r>
        <w:rPr>
          <w:rFonts w:hint="default" w:ascii="Times New Roman" w:hAnsi="Times New Roman" w:eastAsia="仿宋_GB2312" w:cs="Times New Roman"/>
          <w:snapToGrid w:val="0"/>
          <w:kern w:val="0"/>
          <w:sz w:val="32"/>
          <w:highlight w:val="none"/>
        </w:rPr>
        <w:t>预案。</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楷体_GB2312" w:cs="Times New Roman"/>
          <w:b w:val="0"/>
          <w:bCs/>
          <w:snapToGrid w:val="0"/>
          <w:kern w:val="0"/>
          <w:sz w:val="32"/>
          <w:highlight w:val="none"/>
        </w:rPr>
      </w:pPr>
      <w:r>
        <w:rPr>
          <w:rFonts w:hint="default" w:ascii="Times New Roman" w:hAnsi="Times New Roman" w:eastAsia="楷体_GB2312" w:cs="Times New Roman"/>
          <w:b w:val="0"/>
          <w:bCs/>
          <w:snapToGrid w:val="0"/>
          <w:kern w:val="0"/>
          <w:sz w:val="32"/>
          <w:highlight w:val="none"/>
        </w:rPr>
        <w:t>（一）散发病例</w:t>
      </w:r>
      <w:r>
        <w:rPr>
          <w:rFonts w:hint="default" w:ascii="Times New Roman" w:hAnsi="Times New Roman" w:eastAsia="楷体_GB2312" w:cs="Times New Roman"/>
          <w:b w:val="0"/>
          <w:bCs/>
          <w:snapToGrid w:val="0"/>
          <w:kern w:val="0"/>
          <w:sz w:val="32"/>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1</w:t>
      </w:r>
      <w:r>
        <w:rPr>
          <w:rFonts w:hint="eastAsia" w:ascii="仿宋_GB2312" w:hAnsi="仿宋_GB2312" w:eastAsia="仿宋_GB2312" w:cs="仿宋_GB2312"/>
          <w:snapToGrid w:val="0"/>
          <w:kern w:val="0"/>
          <w:sz w:val="32"/>
          <w:highlight w:val="none"/>
        </w:rPr>
        <w:t>.</w:t>
      </w:r>
      <w:r>
        <w:rPr>
          <w:rFonts w:hint="default" w:ascii="Times New Roman" w:hAnsi="Times New Roman" w:eastAsia="仿宋_GB2312" w:cs="Times New Roman"/>
          <w:snapToGrid w:val="0"/>
          <w:kern w:val="0"/>
          <w:sz w:val="32"/>
          <w:highlight w:val="none"/>
        </w:rPr>
        <w:t>发现可疑病例时，应立即引导病例到临时医学观察点或单独隔离观察间进行留观，联系单位所在社区（村</w:t>
      </w:r>
      <w:r>
        <w:rPr>
          <w:rFonts w:hint="default" w:ascii="Times New Roman" w:hAnsi="Times New Roman" w:eastAsia="仿宋_GB2312" w:cs="Times New Roman"/>
          <w:snapToGrid w:val="0"/>
          <w:kern w:val="0"/>
          <w:sz w:val="32"/>
          <w:highlight w:val="none"/>
          <w:lang w:eastAsia="zh-CN"/>
        </w:rPr>
        <w:t>居</w:t>
      </w:r>
      <w:r>
        <w:rPr>
          <w:rFonts w:hint="default" w:ascii="Times New Roman" w:hAnsi="Times New Roman" w:eastAsia="仿宋_GB2312" w:cs="Times New Roman"/>
          <w:snapToGrid w:val="0"/>
          <w:kern w:val="0"/>
          <w:sz w:val="32"/>
          <w:highlight w:val="none"/>
        </w:rPr>
        <w:t>）的社区卫生服务中心（乡镇卫生院）等医疗机构初步排查后，送辖区定点医院诊治。</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2</w:t>
      </w:r>
      <w:r>
        <w:rPr>
          <w:rFonts w:hint="eastAsia" w:ascii="仿宋_GB2312" w:hAnsi="仿宋_GB2312" w:eastAsia="仿宋_GB2312" w:cs="仿宋_GB2312"/>
          <w:snapToGrid w:val="0"/>
          <w:kern w:val="0"/>
          <w:sz w:val="32"/>
          <w:highlight w:val="none"/>
        </w:rPr>
        <w:t>.</w:t>
      </w:r>
      <w:r>
        <w:rPr>
          <w:rFonts w:hint="default" w:ascii="Times New Roman" w:hAnsi="Times New Roman" w:eastAsia="仿宋_GB2312" w:cs="Times New Roman"/>
          <w:snapToGrid w:val="0"/>
          <w:kern w:val="0"/>
          <w:sz w:val="32"/>
          <w:highlight w:val="none"/>
        </w:rPr>
        <w:t>配合疾控机构开展密切接触者流行病学调查，对所有接触过病例或无症状感染者的人员进行调查。根据属地管理原则，按照</w:t>
      </w:r>
      <w:r>
        <w:rPr>
          <w:rFonts w:hint="default" w:ascii="Times New Roman" w:hAnsi="Times New Roman" w:eastAsia="仿宋_GB2312" w:cs="Times New Roman"/>
          <w:snapToGrid w:val="0"/>
          <w:kern w:val="0"/>
          <w:sz w:val="32"/>
          <w:highlight w:val="none"/>
          <w:lang w:eastAsia="zh-CN"/>
        </w:rPr>
        <w:t>最新版新冠</w:t>
      </w:r>
      <w:r>
        <w:rPr>
          <w:rFonts w:hint="default" w:ascii="Times New Roman" w:hAnsi="Times New Roman" w:eastAsia="仿宋_GB2312" w:cs="Times New Roman"/>
          <w:snapToGrid w:val="0"/>
          <w:kern w:val="0"/>
          <w:sz w:val="32"/>
          <w:highlight w:val="none"/>
        </w:rPr>
        <w:t>肺炎防控方案或有关最新文件要求进行密切接触者居家或集中隔离医学观察。隔离期间一旦出现发热、</w:t>
      </w:r>
      <w:r>
        <w:rPr>
          <w:rFonts w:hint="default" w:ascii="Times New Roman" w:hAnsi="Times New Roman" w:eastAsia="仿宋_GB2312" w:cs="Times New Roman"/>
          <w:snapToGrid w:val="0"/>
          <w:kern w:val="0"/>
          <w:sz w:val="32"/>
          <w:highlight w:val="none"/>
          <w:lang w:eastAsia="zh-CN"/>
        </w:rPr>
        <w:t>干</w:t>
      </w:r>
      <w:r>
        <w:rPr>
          <w:rFonts w:hint="default" w:ascii="Times New Roman" w:hAnsi="Times New Roman" w:eastAsia="仿宋_GB2312" w:cs="Times New Roman"/>
          <w:snapToGrid w:val="0"/>
          <w:kern w:val="0"/>
          <w:sz w:val="32"/>
          <w:highlight w:val="none"/>
        </w:rPr>
        <w:t>咳等疑似新冠肺炎症状时要及时送定点医院排查、诊治。</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除密切接触者外，与病例曾接触过但不符合密切接触者判定原则的人员，判定为一般接触者。对一般接触者要做好登记，并进行健康风险告知，嘱其一旦出现发热、</w:t>
      </w:r>
      <w:r>
        <w:rPr>
          <w:rFonts w:hint="default" w:ascii="Times New Roman" w:hAnsi="Times New Roman" w:eastAsia="仿宋_GB2312" w:cs="Times New Roman"/>
          <w:snapToGrid w:val="0"/>
          <w:kern w:val="0"/>
          <w:sz w:val="32"/>
          <w:highlight w:val="none"/>
          <w:lang w:eastAsia="zh-CN"/>
        </w:rPr>
        <w:t>干</w:t>
      </w:r>
      <w:r>
        <w:rPr>
          <w:rFonts w:hint="default" w:ascii="Times New Roman" w:hAnsi="Times New Roman" w:eastAsia="仿宋_GB2312" w:cs="Times New Roman"/>
          <w:snapToGrid w:val="0"/>
          <w:kern w:val="0"/>
          <w:sz w:val="32"/>
          <w:highlight w:val="none"/>
        </w:rPr>
        <w:t>咳等疑似新冠肺炎症状时要及时告知健康管理员，并主动告知近期活动史，做好体温检测，佩戴口罩。</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所有配合疾控机构开展流行病学调查的人员，应做好个人防护，佩戴医用外科口罩等。</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3</w:t>
      </w:r>
      <w:r>
        <w:rPr>
          <w:rFonts w:hint="eastAsia" w:ascii="仿宋_GB2312" w:hAnsi="仿宋_GB2312" w:eastAsia="仿宋_GB2312" w:cs="仿宋_GB2312"/>
          <w:snapToGrid w:val="0"/>
          <w:kern w:val="0"/>
          <w:sz w:val="32"/>
          <w:highlight w:val="none"/>
        </w:rPr>
        <w:t>.</w:t>
      </w:r>
      <w:r>
        <w:rPr>
          <w:rFonts w:hint="default" w:ascii="Times New Roman" w:hAnsi="Times New Roman" w:eastAsia="仿宋_GB2312" w:cs="Times New Roman"/>
          <w:snapToGrid w:val="0"/>
          <w:kern w:val="0"/>
          <w:sz w:val="32"/>
          <w:highlight w:val="none"/>
        </w:rPr>
        <w:t>在疾控机构的指导下，按国家和省的消毒指引，做好病例所在宿舍（公寓）、车间等疫点、公共场所、电梯（扶梯）的清洁、随时消毒和终末消毒工作。</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做好其他区域的保洁和消毒防疫工作；加强人群聚集场所的通风换气和空调等公共设施及公共用具的消毒，每日对办公室、食堂、宿舍、会议室、车间、厕所等公共场所及垃圾桶/站进行消毒；各工作场所和食堂入口要配备含酒精成分的手消毒液，厕所配备洗手液，指导和督促员工做好手卫生。</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4</w:t>
      </w:r>
      <w:r>
        <w:rPr>
          <w:rFonts w:hint="eastAsia" w:ascii="仿宋_GB2312" w:hAnsi="仿宋_GB2312" w:eastAsia="仿宋_GB2312" w:cs="仿宋_GB2312"/>
          <w:snapToGrid w:val="0"/>
          <w:kern w:val="0"/>
          <w:sz w:val="32"/>
          <w:highlight w:val="none"/>
        </w:rPr>
        <w:t>.</w:t>
      </w:r>
      <w:r>
        <w:rPr>
          <w:rFonts w:hint="default" w:ascii="Times New Roman" w:hAnsi="Times New Roman" w:eastAsia="仿宋_GB2312" w:cs="Times New Roman"/>
          <w:snapToGrid w:val="0"/>
          <w:kern w:val="0"/>
          <w:sz w:val="32"/>
          <w:highlight w:val="none"/>
        </w:rPr>
        <w:t>按照卫生健康部门的建议，根据疫情防控需要启动封闭式管理，因地制宜采取宿舍（公寓）、楼栋封锁等措施，严格限制人员进出，严格控制外来人员、车辆进入。适时适当调整工作安排，必要时采取停工停产等措施。</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5</w:t>
      </w:r>
      <w:r>
        <w:rPr>
          <w:rFonts w:hint="eastAsia" w:ascii="仿宋_GB2312" w:hAnsi="仿宋_GB2312" w:eastAsia="仿宋_GB2312" w:cs="仿宋_GB2312"/>
          <w:snapToGrid w:val="0"/>
          <w:kern w:val="0"/>
          <w:sz w:val="32"/>
          <w:highlight w:val="none"/>
        </w:rPr>
        <w:t>.</w:t>
      </w:r>
      <w:r>
        <w:rPr>
          <w:rFonts w:hint="default" w:ascii="Times New Roman" w:hAnsi="Times New Roman" w:eastAsia="仿宋_GB2312" w:cs="Times New Roman"/>
          <w:snapToGrid w:val="0"/>
          <w:kern w:val="0"/>
          <w:sz w:val="32"/>
          <w:highlight w:val="none"/>
        </w:rPr>
        <w:t>做好安全后勤保障工作，确保应急工作顺利开展。保障需要应急处置的设施、设备和物资供应。做好餐饮、生活饮用水安全等生活保障。加强巡查管控，及时停止群体性聚集活动，及时处置安全突发事件。</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6</w:t>
      </w:r>
      <w:r>
        <w:rPr>
          <w:rFonts w:hint="eastAsia" w:ascii="仿宋_GB2312" w:hAnsi="仿宋_GB2312" w:eastAsia="仿宋_GB2312" w:cs="仿宋_GB2312"/>
          <w:snapToGrid w:val="0"/>
          <w:kern w:val="0"/>
          <w:sz w:val="32"/>
          <w:highlight w:val="none"/>
        </w:rPr>
        <w:t>.</w:t>
      </w:r>
      <w:r>
        <w:rPr>
          <w:rFonts w:hint="default" w:ascii="Times New Roman" w:hAnsi="Times New Roman" w:eastAsia="仿宋_GB2312" w:cs="Times New Roman"/>
          <w:snapToGrid w:val="0"/>
          <w:kern w:val="0"/>
          <w:sz w:val="32"/>
          <w:highlight w:val="none"/>
        </w:rPr>
        <w:t>本单位医务人员要协助当地疾控机构开展流行病学调查、采样、密切接触者筛查等工作。继续做好职工的健康监测工作，配合</w:t>
      </w:r>
      <w:r>
        <w:rPr>
          <w:rFonts w:hint="default" w:ascii="Times New Roman" w:hAnsi="Times New Roman" w:eastAsia="仿宋_GB2312" w:cs="Times New Roman"/>
          <w:snapToGrid w:val="0"/>
          <w:kern w:val="0"/>
          <w:sz w:val="32"/>
          <w:highlight w:val="none"/>
          <w:lang w:eastAsia="zh-CN"/>
        </w:rPr>
        <w:t>卫生健康</w:t>
      </w:r>
      <w:r>
        <w:rPr>
          <w:rFonts w:hint="default" w:ascii="Times New Roman" w:hAnsi="Times New Roman" w:eastAsia="仿宋_GB2312" w:cs="Times New Roman"/>
          <w:snapToGrid w:val="0"/>
          <w:kern w:val="0"/>
          <w:sz w:val="32"/>
          <w:highlight w:val="none"/>
        </w:rPr>
        <w:t>部门做好集中隔离医学观察人员的健康监测工作。每天保持与单位主要负责人、疾控部门进行信息沟通，及时上报最新情况。</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7</w:t>
      </w:r>
      <w:r>
        <w:rPr>
          <w:rFonts w:hint="eastAsia" w:ascii="仿宋_GB2312" w:hAnsi="仿宋_GB2312" w:eastAsia="仿宋_GB2312" w:cs="仿宋_GB2312"/>
          <w:snapToGrid w:val="0"/>
          <w:kern w:val="0"/>
          <w:sz w:val="32"/>
          <w:highlight w:val="none"/>
        </w:rPr>
        <w:t>.</w:t>
      </w:r>
      <w:r>
        <w:rPr>
          <w:rFonts w:hint="default" w:ascii="Times New Roman" w:hAnsi="Times New Roman" w:eastAsia="仿宋_GB2312" w:cs="Times New Roman"/>
          <w:snapToGrid w:val="0"/>
          <w:kern w:val="0"/>
          <w:sz w:val="32"/>
          <w:highlight w:val="none"/>
        </w:rPr>
        <w:t>做好宣传和员工心理疏导工作。疫情期间要做好舆情监测、心理健康引导和健康教育等工作。通过各种渠道宣传新冠</w:t>
      </w:r>
      <w:r>
        <w:rPr>
          <w:rFonts w:hint="default" w:ascii="Times New Roman" w:hAnsi="Times New Roman" w:eastAsia="仿宋_GB2312" w:cs="Times New Roman"/>
          <w:snapToGrid w:val="0"/>
          <w:kern w:val="0"/>
          <w:sz w:val="32"/>
          <w:highlight w:val="none"/>
          <w:lang w:eastAsia="zh-CN"/>
        </w:rPr>
        <w:t>肺炎</w:t>
      </w:r>
      <w:r>
        <w:rPr>
          <w:rFonts w:hint="default" w:ascii="Times New Roman" w:hAnsi="Times New Roman" w:eastAsia="仿宋_GB2312" w:cs="Times New Roman"/>
          <w:snapToGrid w:val="0"/>
          <w:kern w:val="0"/>
          <w:sz w:val="32"/>
          <w:highlight w:val="none"/>
        </w:rPr>
        <w:t>防控知识。根据确诊病例、疑似病例和密切接触人员等不同群体的实际情况，有针对性的开展心理支持和危机干预工作，稳定员工的情绪，避免过度恐慌。</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仿宋_GB2312" w:cs="Times New Roman"/>
          <w:snapToGrid w:val="0"/>
          <w:kern w:val="0"/>
          <w:sz w:val="32"/>
          <w:highlight w:val="none"/>
        </w:rPr>
      </w:pPr>
      <w:r>
        <w:rPr>
          <w:rFonts w:hint="default" w:ascii="Times New Roman" w:hAnsi="Times New Roman" w:eastAsia="楷体_GB2312" w:cs="Times New Roman"/>
          <w:b w:val="0"/>
          <w:bCs/>
          <w:snapToGrid w:val="0"/>
          <w:kern w:val="0"/>
          <w:sz w:val="32"/>
          <w:highlight w:val="none"/>
        </w:rPr>
        <w:t>（二）</w:t>
      </w:r>
      <w:r>
        <w:rPr>
          <w:rFonts w:hint="default" w:ascii="Times New Roman" w:hAnsi="Times New Roman" w:eastAsia="楷体_GB2312" w:cs="Times New Roman"/>
          <w:b w:val="0"/>
          <w:bCs/>
          <w:snapToGrid w:val="0"/>
          <w:kern w:val="0"/>
          <w:sz w:val="32"/>
          <w:highlight w:val="none"/>
          <w:lang w:val="en-US" w:eastAsia="zh-CN"/>
        </w:rPr>
        <w:t>一周内</w:t>
      </w:r>
      <w:r>
        <w:rPr>
          <w:rFonts w:hint="default" w:ascii="Times New Roman" w:hAnsi="Times New Roman" w:eastAsia="楷体_GB2312" w:cs="Times New Roman"/>
          <w:b w:val="0"/>
          <w:bCs/>
          <w:snapToGrid w:val="0"/>
          <w:kern w:val="0"/>
          <w:sz w:val="32"/>
          <w:highlight w:val="none"/>
        </w:rPr>
        <w:t>出现2例及以上聚集性病例</w:t>
      </w:r>
      <w:r>
        <w:rPr>
          <w:rFonts w:hint="default" w:ascii="Times New Roman" w:hAnsi="Times New Roman" w:eastAsia="楷体_GB2312" w:cs="Times New Roman"/>
          <w:b w:val="0"/>
          <w:bCs/>
          <w:snapToGrid w:val="0"/>
          <w:kern w:val="0"/>
          <w:sz w:val="32"/>
          <w:highlight w:val="none"/>
          <w:lang w:eastAsia="zh-CN"/>
        </w:rPr>
        <w:t>。</w:t>
      </w:r>
      <w:r>
        <w:rPr>
          <w:rFonts w:hint="default" w:ascii="Times New Roman" w:hAnsi="Times New Roman" w:eastAsia="仿宋_GB2312" w:cs="Times New Roman"/>
          <w:snapToGrid w:val="0"/>
          <w:kern w:val="0"/>
          <w:sz w:val="32"/>
          <w:highlight w:val="none"/>
        </w:rPr>
        <w:t>应由疫情防控专家评估后采取相应管控措施。对发生聚集性疫情的楼宇、院落实施硬隔离。企事业单位是否因疫情停工和停工范围由当地卫生健康部门、人力资源部门和企事业单位主管部门现场评估研究决定。</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仿宋_GB2312" w:cs="Times New Roman"/>
          <w:snapToGrid w:val="0"/>
          <w:kern w:val="0"/>
          <w:sz w:val="32"/>
          <w:highlight w:val="none"/>
        </w:rPr>
      </w:pPr>
      <w:r>
        <w:rPr>
          <w:rFonts w:hint="default" w:ascii="Times New Roman" w:hAnsi="Times New Roman" w:eastAsia="黑体" w:cs="Times New Roman"/>
          <w:snapToGrid w:val="0"/>
          <w:kern w:val="0"/>
          <w:sz w:val="32"/>
          <w:highlight w:val="none"/>
        </w:rPr>
        <w:t>三、预案终止</w:t>
      </w:r>
      <w:r>
        <w:rPr>
          <w:rFonts w:hint="default" w:ascii="Times New Roman" w:hAnsi="Times New Roman" w:eastAsia="仿宋_GB2312" w:cs="Times New Roman"/>
          <w:snapToGrid w:val="0"/>
          <w:kern w:val="0"/>
          <w:sz w:val="32"/>
          <w:highlight w:val="none"/>
        </w:rPr>
        <w:t xml:space="preserve"> </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t>当病例已得到隔离治疗，密切接触者观察14天期满，后续无新发病例，环境得到有效消毒，经卫生健康部门评估，可由疫情应急领导小组决定终止响应。</w:t>
      </w:r>
    </w:p>
    <w:p>
      <w:pPr>
        <w:pStyle w:val="5"/>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outlineLvl w:val="9"/>
        <w:rPr>
          <w:rFonts w:hint="default" w:ascii="Times New Roman" w:hAnsi="Times New Roman" w:eastAsia="仿宋_GB2312" w:cs="Times New Roman"/>
          <w:snapToGrid w:val="0"/>
          <w:kern w:val="0"/>
          <w:sz w:val="32"/>
          <w:highlight w:val="none"/>
        </w:rPr>
      </w:pPr>
    </w:p>
    <w:p>
      <w:pPr>
        <w:keepNext w:val="0"/>
        <w:keepLines w:val="0"/>
        <w:pageBreakBefore w:val="0"/>
        <w:widowControl w:val="0"/>
        <w:kinsoku/>
        <w:wordWrap/>
        <w:overflowPunct/>
        <w:topLinePunct w:val="0"/>
        <w:autoSpaceDE/>
        <w:autoSpaceDN/>
        <w:bidi w:val="0"/>
        <w:adjustRightInd/>
        <w:snapToGrid/>
        <w:spacing w:line="540" w:lineRule="exact"/>
        <w:ind w:left="1600" w:leftChars="200" w:hanging="960" w:hangingChars="300"/>
        <w:outlineLvl w:val="9"/>
        <w:rPr>
          <w:rFonts w:hint="default" w:ascii="Times New Roman" w:hAnsi="Times New Roman" w:eastAsia="仿宋_GB2312" w:cs="Times New Roman"/>
          <w:lang w:val="en-US" w:eastAsia="zh-CN"/>
        </w:rPr>
      </w:pPr>
      <w:r>
        <w:rPr>
          <w:rFonts w:hint="default" w:ascii="Times New Roman" w:hAnsi="Times New Roman" w:eastAsia="仿宋_GB2312" w:cs="Times New Roman"/>
          <w:snapToGrid w:val="0"/>
          <w:kern w:val="0"/>
          <w:sz w:val="32"/>
          <w:highlight w:val="none"/>
          <w:lang w:val="en-US" w:eastAsia="zh-CN"/>
        </w:rPr>
        <w:t>附件：</w:t>
      </w:r>
      <w:r>
        <w:rPr>
          <w:rFonts w:hint="default" w:ascii="Times New Roman" w:hAnsi="Times New Roman" w:eastAsia="仿宋_GB2312" w:cs="Times New Roman"/>
          <w:snapToGrid w:val="0"/>
          <w:spacing w:val="-11"/>
          <w:kern w:val="0"/>
          <w:sz w:val="32"/>
          <w:highlight w:val="none"/>
          <w:lang w:val="en-US" w:eastAsia="zh-CN"/>
        </w:rPr>
        <w:t>厂矿、机关、企事业单位新冠肺炎疫情应急响应流程图</w:t>
      </w:r>
    </w:p>
    <w:p>
      <w:pPr>
        <w:pStyle w:val="5"/>
        <w:pageBreakBefore w:val="0"/>
        <w:widowControl w:val="0"/>
        <w:kinsoku/>
        <w:wordWrap/>
        <w:overflowPunct/>
        <w:topLinePunct w:val="0"/>
        <w:autoSpaceDE/>
        <w:autoSpaceDN/>
        <w:bidi w:val="0"/>
        <w:spacing w:line="540" w:lineRule="exact"/>
        <w:ind w:left="0" w:leftChars="0" w:right="0" w:rightChars="0"/>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rPr>
        <w:br w:type="page"/>
      </w:r>
      <w:r>
        <w:drawing>
          <wp:anchor distT="0" distB="0" distL="114300" distR="114300" simplePos="0" relativeHeight="251658240" behindDoc="0" locked="0" layoutInCell="1" allowOverlap="1">
            <wp:simplePos x="0" y="0"/>
            <wp:positionH relativeFrom="column">
              <wp:posOffset>190500</wp:posOffset>
            </wp:positionH>
            <wp:positionV relativeFrom="paragraph">
              <wp:posOffset>12065</wp:posOffset>
            </wp:positionV>
            <wp:extent cx="5612765" cy="7904480"/>
            <wp:effectExtent l="0" t="0" r="6985" b="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5612765" cy="7904480"/>
                    </a:xfrm>
                    <a:prstGeom prst="rect">
                      <a:avLst/>
                    </a:prstGeom>
                    <a:noFill/>
                    <a:ln>
                      <a:noFill/>
                    </a:ln>
                  </pic:spPr>
                </pic:pic>
              </a:graphicData>
            </a:graphic>
          </wp:anchor>
        </w:drawing>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0450E"/>
    <w:rsid w:val="223B789B"/>
    <w:rsid w:val="64E0450E"/>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line="320" w:lineRule="exact"/>
      <w:jc w:val="center"/>
    </w:pPr>
    <w:rPr>
      <w:rFonts w:hint="eastAsia" w:ascii="Times New Roman" w:hAnsi="Times New Roman" w:eastAsia="宋体" w:cs="Times New Roman"/>
      <w:sz w:val="21"/>
      <w:szCs w:val="24"/>
      <w:lang w:bidi="ar-SA"/>
    </w:rPr>
  </w:style>
  <w:style w:type="paragraph" w:customStyle="1" w:styleId="5">
    <w:name w:val="BodyText1I2"/>
    <w:basedOn w:val="6"/>
    <w:next w:val="1"/>
    <w:uiPriority w:val="0"/>
    <w:pPr>
      <w:keepNext w:val="0"/>
      <w:keepLines w:val="0"/>
      <w:widowControl w:val="0"/>
      <w:suppressLineNumbers w:val="0"/>
      <w:spacing w:beforeLines="0" w:beforeAutospacing="0" w:afterLines="0" w:afterAutospacing="0"/>
      <w:ind w:firstLine="420" w:firstLineChars="200"/>
      <w:jc w:val="both"/>
      <w:textAlignment w:val="baseline"/>
    </w:pPr>
    <w:rPr>
      <w:rFonts w:hint="default" w:ascii="Times New Roman" w:hAnsi="Times New Roman" w:eastAsia="宋体" w:cs="Times New Roman"/>
      <w:kern w:val="2"/>
      <w:sz w:val="21"/>
      <w:szCs w:val="21"/>
      <w:lang w:val="en-US" w:eastAsia="zh-CN" w:bidi="ar"/>
    </w:rPr>
  </w:style>
  <w:style w:type="paragraph" w:customStyle="1" w:styleId="6">
    <w:name w:val="BodyTextIndent"/>
    <w:basedOn w:val="1"/>
    <w:unhideWhenUsed/>
    <w:qFormat/>
    <w:uiPriority w:val="99"/>
    <w:pPr>
      <w:spacing w:beforeLines="0" w:afterLines="0"/>
      <w:ind w:firstLine="720" w:firstLineChars="225"/>
      <w:textAlignment w:val="baseline"/>
    </w:pPr>
    <w:rPr>
      <w:rFonts w:hint="eastAsia" w:ascii="仿宋_GB2312" w:hAnsi="Times New Roman" w:eastAsia="仿宋_GB2312" w:cs="Times New Roman"/>
      <w:sz w:val="21"/>
      <w:szCs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2020-03-02T04:15:00Z</dcterms:created>
  <dc:creator>华</dc:creator>
  <cp:lastModifiedBy>华</cp:lastModifiedBy>
  <dcterms:modified xsi:type="dcterms:W3CDTF">2020-03-02T04:18:54Z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