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napToGrid w:val="0"/>
        <w:spacing w:before="0" w:beforeLines="0" w:after="0" w:afterLines="0" w:line="600" w:lineRule="exact"/>
        <w:ind w:right="44" w:rightChars="21"/>
        <w:rPr>
          <w:rFonts w:hint="default" w:ascii="Times New Roman" w:hAnsi="Times New Roman" w:cs="Times New Roman"/>
          <w:b w:val="0"/>
          <w:sz w:val="32"/>
          <w:szCs w:val="32"/>
        </w:rPr>
      </w:pPr>
      <w:bookmarkStart w:id="1" w:name="_GoBack"/>
      <w:bookmarkStart w:id="0" w:name="_Hlk30518470"/>
      <w:r>
        <w:rPr>
          <w:rFonts w:hint="default" w:ascii="Times New Roman" w:hAnsi="Times New Roman" w:cs="Times New Roman"/>
          <w:b w:val="0"/>
          <w:sz w:val="32"/>
          <w:szCs w:val="32"/>
        </w:rPr>
        <w:t>附件8</w:t>
      </w:r>
    </w:p>
    <w:p>
      <w:pPr>
        <w:rPr>
          <w:rFonts w:hint="default" w:ascii="Times New Roman" w:hAnsi="Times New Roman"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养老</w:t>
      </w:r>
      <w:r>
        <w:rPr>
          <w:rFonts w:hint="eastAsia" w:ascii="Times New Roman" w:hAnsi="Times New Roman" w:eastAsia="方正小标宋简体"/>
          <w:b w:val="0"/>
          <w:sz w:val="44"/>
          <w:lang w:eastAsia="zh-CN"/>
        </w:rPr>
        <w:t>机构</w:t>
      </w:r>
      <w:r>
        <w:rPr>
          <w:rFonts w:hint="eastAsia" w:ascii="Times New Roman" w:hAnsi="Times New Roman" w:eastAsia="方正小标宋简体"/>
          <w:b w:val="0"/>
          <w:sz w:val="44"/>
        </w:rPr>
        <w:t>新型冠状病毒感染的肺炎</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预防控制指引</w:t>
      </w:r>
    </w:p>
    <w:bookmarkEnd w:id="1"/>
    <w:p>
      <w:pPr>
        <w:pStyle w:val="3"/>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Times New Roman" w:cs="Times New Roman"/>
          <w:b w:val="0"/>
          <w:snapToGrid w:val="0"/>
          <w:kern w:val="0"/>
          <w:sz w:val="44"/>
        </w:rPr>
      </w:pPr>
    </w:p>
    <w:bookmarkEnd w:id="0"/>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一、日常预防控制工作</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（一）对工作人员和护养老人加强新型冠状病毒肺炎和冬春季呼吸道传染病防控的知识教育。</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（二）建立晨检制度和健康申报制度。建立老人和工作人员的健康档案。</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（三）工作人员一旦出现发热、咳嗽等呼吸道感染症状，应立即停止工作，尽早去医院就诊治疗。</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（四）建立探访人员登记制度，如探访人员有发热、咳嗽等呼吸道感染症状，应拒绝其探访。</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（五）确保环境清洁卫生，定期用消毒水为老人住所、厕所、休息聊天场所、活动器械等抹洗消毒。经常将老人的被褥衣服晒太阳。</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（六）尽量开启门窗，保持室内空气流通，使用空调系统的单位，要定期清洗空调。开空调时，可同时开排气扇。</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Times New Roman" w:cs="Times New Roman"/>
          <w:snapToGrid w:val="0"/>
          <w:color w:val="auto"/>
          <w:kern w:val="0"/>
          <w:sz w:val="32"/>
        </w:rPr>
        <w:t xml:space="preserve">    </w:t>
      </w:r>
      <w:r>
        <w:rPr>
          <w:rFonts w:hint="default" w:ascii="Times New Roman" w:hAnsi="Times New Roman" w:eastAsia="仿宋_GB2312" w:cs="Times New Roman"/>
          <w:snapToGrid w:val="0"/>
          <w:color w:val="auto"/>
          <w:kern w:val="0"/>
          <w:sz w:val="32"/>
        </w:rPr>
        <w:t>（七）设置适合老年人的洗手设施，提供洗手液、抹手纸或干手机。倡导老人养成经常洗手的好习惯。</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（八）准备隔离后备房间（设置在人流不密集、通风、有独立厕所的房间），提供给急性发热、咳嗽的老人隔离治疗使用。有症状的老人应及时予以隔离，避免传染给其他老人。</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二、出现发热、乏力、干咳及胸闷等疑似新型冠状病毒感染患者时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除做好上述日常防控措施外，还须实施：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（一）疑似患者应立即戴上口罩就医。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（二）及时联系当地疾病预防控制中心请求指导，并协助开展相关调查处置工作。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（三）若被诊断为新型冠状病毒的肺炎患者，其密切接触者应接受14天医学观察。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（四）暂停探访工作。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（五）减少不必要的聚会、聚餐等群体性活动。建议不安排集中用餐，可以安排老人在各自房间用餐。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（六）落实晨检制度和健康申报制度，加强空气流通、环境清洁等工作。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（七）养老院要在当地疾病预防控制机构的指导下，对餐厅、卧室、公共活动室等场所进行消毒。</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三、日常清洁及预防性消毒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eastAsia" w:ascii="楷体_GB2312" w:hAnsi="楷体_GB2312" w:eastAsia="楷体_GB2312" w:cs="楷体_GB2312"/>
          <w:snapToGrid w:val="0"/>
          <w:color w:val="auto"/>
          <w:kern w:val="0"/>
          <w:sz w:val="32"/>
        </w:rPr>
        <w:t>（一）表面：</w:t>
      </w:r>
      <w:r>
        <w:rPr>
          <w:rFonts w:hint="default" w:ascii="Times New Roman" w:hAnsi="Times New Roman" w:eastAsia="仿宋_GB2312" w:cs="Times New Roman"/>
          <w:snapToGrid w:val="0"/>
          <w:color w:val="auto"/>
          <w:kern w:val="0"/>
          <w:sz w:val="32"/>
        </w:rPr>
        <w:t>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楷体_GB2312" w:hAnsi="楷体_GB2312" w:eastAsia="楷体_GB2312" w:cs="楷体_GB2312"/>
          <w:snapToGrid w:val="0"/>
          <w:color w:val="auto"/>
          <w:kern w:val="0"/>
          <w:sz w:val="32"/>
        </w:rPr>
        <w:t>（二）地面：</w:t>
      </w:r>
      <w:r>
        <w:rPr>
          <w:rFonts w:hint="default" w:ascii="Times New Roman" w:hAnsi="Times New Roman" w:eastAsia="仿宋_GB2312" w:cs="Times New Roman"/>
          <w:snapToGrid w:val="0"/>
          <w:color w:val="auto"/>
          <w:kern w:val="0"/>
          <w:sz w:val="32"/>
        </w:rPr>
        <w:t>可使用含氯消毒剂（有效氯浓度250 mg/L～500 mg/L）用拖布湿式拖拭，作用30min，再用清水洗净。</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四、常见消毒剂及配制使用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（一）有效氯浓度500 mg/L的含氯消毒剂配制方法：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color w:val="auto"/>
          <w:kern w:val="0"/>
          <w:sz w:val="32"/>
        </w:rPr>
        <w:t>84消毒液（有效氯含量5%）：按消毒液：水为1:100比例稀释；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color w:val="auto"/>
          <w:kern w:val="0"/>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color w:val="auto"/>
          <w:kern w:val="0"/>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（三）其他消毒剂按产品标签标识以杀灭肠道致病菌的浓度进行配制和使用。</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五、注意事项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（一）含氯消毒剂有皮肤黏膜刺激性，配置和使用时建议佩戴口罩和手套，儿童请勿触碰。</w:t>
      </w:r>
    </w:p>
    <w:p>
      <w:r>
        <w:rPr>
          <w:rFonts w:hint="default" w:ascii="Times New Roman" w:hAnsi="Times New Roman" w:eastAsia="仿宋_GB2312" w:cs="Times New Roman"/>
          <w:snapToGrid w:val="0"/>
          <w:color w:val="auto"/>
          <w:kern w:val="0"/>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B34CC"/>
    <w:rsid w:val="223B789B"/>
    <w:rsid w:val="2E4B34CC"/>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8">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2020-02-01T01:29:00Z</dcterms:created>
  <dc:creator>华</dc:creator>
  <cp:lastModifiedBy>华</cp:lastModifiedBy>
  <dcterms:modified xsi:type="dcterms:W3CDTF">2020-02-01T01:29:37Z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